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0"/>
        <w:jc w:val="center"/>
        <w:rPr>
          <w:rFonts w:hint="eastAsia"/>
          <w:b/>
          <w:bCs/>
          <w:color w:val="auto"/>
          <w:sz w:val="28"/>
          <w:szCs w:val="28"/>
          <w:lang w:val="en-US" w:eastAsia="zh-CN"/>
        </w:rPr>
      </w:pPr>
      <w:r>
        <w:rPr>
          <w:rFonts w:hint="eastAsia"/>
          <w:b/>
          <w:bCs/>
          <w:color w:val="auto"/>
          <w:sz w:val="28"/>
          <w:szCs w:val="28"/>
          <w:lang w:val="en-US" w:eastAsia="zh-CN"/>
        </w:rPr>
        <w:t>中科院沈阳应用生态研究所</w:t>
      </w:r>
      <w:bookmarkStart w:id="0" w:name="OLE_LINK7"/>
      <w:r>
        <w:rPr>
          <w:rFonts w:hint="eastAsia"/>
          <w:b/>
          <w:bCs/>
          <w:color w:val="auto"/>
          <w:sz w:val="28"/>
          <w:szCs w:val="28"/>
          <w:lang w:val="en-US" w:eastAsia="zh-CN"/>
        </w:rPr>
        <w:t>寿光设施农业中心</w:t>
      </w:r>
    </w:p>
    <w:p>
      <w:pPr>
        <w:spacing w:line="360" w:lineRule="auto"/>
        <w:ind w:firstLine="420" w:firstLineChars="0"/>
        <w:jc w:val="center"/>
        <w:rPr>
          <w:rFonts w:hint="eastAsia"/>
          <w:b/>
          <w:bCs/>
          <w:color w:val="auto"/>
          <w:sz w:val="28"/>
          <w:szCs w:val="28"/>
          <w:lang w:val="en-US" w:eastAsia="zh-CN"/>
        </w:rPr>
      </w:pPr>
      <w:r>
        <w:rPr>
          <w:rFonts w:hint="eastAsia"/>
          <w:b/>
          <w:bCs/>
          <w:color w:val="auto"/>
          <w:sz w:val="28"/>
          <w:szCs w:val="28"/>
          <w:lang w:val="en-US" w:eastAsia="zh-CN"/>
        </w:rPr>
        <w:t>开放性科研项目指南</w:t>
      </w:r>
    </w:p>
    <w:bookmarkEnd w:id="0"/>
    <w:p>
      <w:pPr>
        <w:spacing w:line="360" w:lineRule="auto"/>
        <w:ind w:firstLine="420" w:firstLineChars="0"/>
        <w:rPr>
          <w:rFonts w:hint="eastAsia"/>
          <w:color w:val="auto"/>
          <w:sz w:val="24"/>
          <w:szCs w:val="24"/>
          <w:lang w:val="en-US" w:eastAsia="zh-CN"/>
        </w:rPr>
      </w:pPr>
      <w:bookmarkStart w:id="1" w:name="OLE_LINK18"/>
      <w:r>
        <w:rPr>
          <w:rFonts w:hint="eastAsia"/>
          <w:color w:val="auto"/>
          <w:sz w:val="24"/>
          <w:szCs w:val="24"/>
          <w:lang w:val="en-US" w:eastAsia="zh-CN"/>
        </w:rPr>
        <w:t>针对设施农业生产过程中所面临的实际问题，以促进中国特色设施农业健康发展，解决设施农业生产中关键掣肘问题为导向，以寿光地区为典型研究区域，分别从区域设施农业生产环境效益，设施农业生产效能维系，设施农业生产中物质循环提质增效，设施农业土壤修复与健康环境构建，设施农业产业发展规划等几方面，开展以应用技术研发为主及现有关键技术集成落地的示范性项目研发，同时兼顾设施农业基础科学问题解答。</w:t>
      </w:r>
    </w:p>
    <w:bookmarkEnd w:id="1"/>
    <w:p>
      <w:pPr>
        <w:spacing w:line="360" w:lineRule="auto"/>
        <w:ind w:firstLine="420" w:firstLineChars="0"/>
        <w:rPr>
          <w:rFonts w:hint="eastAsia"/>
          <w:color w:val="auto"/>
          <w:sz w:val="24"/>
          <w:szCs w:val="24"/>
          <w:lang w:val="en-US" w:eastAsia="zh-CN"/>
        </w:rPr>
      </w:pPr>
      <w:r>
        <w:rPr>
          <w:rFonts w:hint="eastAsia"/>
          <w:color w:val="auto"/>
          <w:sz w:val="24"/>
          <w:szCs w:val="24"/>
          <w:lang w:val="en-US" w:eastAsia="zh-CN"/>
        </w:rPr>
        <w:t>按现阶段设施农业问题分类，中心项目分为应用技术研发类、基础研究类和示范应用类。单个项目的年资助强度为10-20万元之间，期限为1-2年，实行定向委托和竞争申请并存的申请机制，鼓励联合申报，类似项目可进行整合，整合项目资助强度不多于整合分项项目资助额度总和。</w:t>
      </w:r>
    </w:p>
    <w:p>
      <w:pPr>
        <w:spacing w:line="360" w:lineRule="auto"/>
        <w:ind w:firstLine="420" w:firstLineChars="0"/>
        <w:rPr>
          <w:rFonts w:hint="eastAsia"/>
          <w:color w:val="auto"/>
          <w:sz w:val="24"/>
          <w:szCs w:val="24"/>
          <w:lang w:val="en-US" w:eastAsia="zh-CN"/>
        </w:rPr>
      </w:pPr>
      <w:r>
        <w:rPr>
          <w:rFonts w:hint="eastAsia"/>
          <w:color w:val="auto"/>
          <w:sz w:val="24"/>
          <w:szCs w:val="24"/>
          <w:lang w:val="en-US" w:eastAsia="zh-CN"/>
        </w:rPr>
        <w:t>中心项目实行绩效考核制度，预先设定考核指标，项目资助后按资助金额的60%先行拨付，待项目通过中心理事会中期验收后拨付余下的40%，终期验收优秀项目奖励追加合同</w:t>
      </w:r>
      <w:r>
        <w:rPr>
          <w:rFonts w:hint="eastAsia"/>
          <w:color w:val="auto"/>
          <w:sz w:val="24"/>
          <w:szCs w:val="24"/>
          <w:lang w:val="en-US" w:eastAsia="zh-CN"/>
        </w:rPr>
        <w:t>总经费的30%，年优秀项目控制在总资助项目的15%以内。</w:t>
      </w:r>
      <w:r>
        <w:rPr>
          <w:rFonts w:hint="eastAsia"/>
          <w:color w:val="auto"/>
          <w:sz w:val="24"/>
          <w:szCs w:val="24"/>
          <w:lang w:val="en-US" w:eastAsia="zh-CN"/>
        </w:rPr>
        <w:t>中心资助项目实行结算制，可列支的分项内容主要为：材料费、差旅费、测试化验加工费、小型设备费、出版费、劳务费、邮电费等，不可列支出国经费。</w:t>
      </w:r>
    </w:p>
    <w:p>
      <w:pPr>
        <w:spacing w:line="600" w:lineRule="auto"/>
        <w:ind w:firstLine="420" w:firstLineChars="0"/>
        <w:rPr>
          <w:rFonts w:hint="eastAsia"/>
          <w:b/>
          <w:bCs/>
          <w:color w:val="auto"/>
          <w:sz w:val="28"/>
          <w:szCs w:val="28"/>
          <w:lang w:val="en-US" w:eastAsia="zh-CN"/>
        </w:rPr>
      </w:pPr>
      <w:r>
        <w:rPr>
          <w:rFonts w:hint="eastAsia"/>
          <w:b/>
          <w:bCs/>
          <w:color w:val="auto"/>
          <w:sz w:val="28"/>
          <w:szCs w:val="28"/>
          <w:lang w:val="en-US" w:eastAsia="zh-CN"/>
        </w:rPr>
        <w:t>2018年项目指南内容：</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right="0" w:rightChars="0" w:firstLine="420" w:firstLineChars="0"/>
        <w:jc w:val="both"/>
        <w:textAlignment w:val="auto"/>
        <w:outlineLvl w:val="9"/>
        <w:rPr>
          <w:rFonts w:hint="eastAsia"/>
          <w:b/>
          <w:bCs/>
          <w:color w:val="auto"/>
          <w:sz w:val="24"/>
          <w:szCs w:val="24"/>
          <w:lang w:val="en-US" w:eastAsia="zh-CN"/>
        </w:rPr>
      </w:pPr>
      <w:bookmarkStart w:id="2" w:name="OLE_LINK1"/>
      <w:r>
        <w:rPr>
          <w:rFonts w:hint="eastAsia"/>
          <w:b/>
          <w:bCs/>
          <w:color w:val="auto"/>
          <w:sz w:val="24"/>
          <w:szCs w:val="24"/>
          <w:lang w:val="en-US" w:eastAsia="zh-CN"/>
        </w:rPr>
        <w:t>应用技术研发类</w:t>
      </w:r>
      <w:bookmarkEnd w:id="2"/>
      <w:r>
        <w:rPr>
          <w:rFonts w:hint="eastAsia"/>
          <w:b/>
          <w:bCs/>
          <w:color w:val="auto"/>
          <w:sz w:val="24"/>
          <w:szCs w:val="24"/>
          <w:lang w:val="en-US" w:eastAsia="zh-CN"/>
        </w:rPr>
        <w:t>：</w:t>
      </w:r>
    </w:p>
    <w:p>
      <w:pPr>
        <w:numPr>
          <w:ilvl w:val="0"/>
          <w:numId w:val="1"/>
        </w:numPr>
        <w:spacing w:line="360" w:lineRule="auto"/>
        <w:rPr>
          <w:rFonts w:hint="eastAsia"/>
          <w:b/>
          <w:bCs/>
          <w:color w:val="auto"/>
          <w:sz w:val="24"/>
          <w:szCs w:val="24"/>
          <w:lang w:val="en-US" w:eastAsia="zh-CN"/>
        </w:rPr>
      </w:pPr>
      <w:r>
        <w:rPr>
          <w:rFonts w:hint="eastAsia"/>
          <w:b/>
          <w:bCs/>
          <w:color w:val="auto"/>
          <w:sz w:val="24"/>
          <w:szCs w:val="24"/>
          <w:lang w:val="en-US" w:eastAsia="zh-CN"/>
        </w:rPr>
        <w:t>设施农业区地下水质优化技术研发</w:t>
      </w:r>
      <w:bookmarkStart w:id="3" w:name="OLE_LINK8"/>
      <w:r>
        <w:rPr>
          <w:rFonts w:hint="eastAsia"/>
          <w:b/>
          <w:bCs/>
          <w:color w:val="auto"/>
          <w:sz w:val="24"/>
          <w:szCs w:val="24"/>
          <w:lang w:val="en-US" w:eastAsia="zh-CN"/>
        </w:rPr>
        <w:t>（编号：2018SG-Y-01）</w:t>
      </w:r>
    </w:p>
    <w:bookmarkEnd w:id="3"/>
    <w:p>
      <w:pPr>
        <w:numPr>
          <w:ilvl w:val="0"/>
          <w:numId w:val="0"/>
        </w:numPr>
        <w:spacing w:line="360" w:lineRule="auto"/>
        <w:ind w:firstLine="420" w:firstLineChars="0"/>
        <w:rPr>
          <w:rFonts w:hint="eastAsia"/>
          <w:color w:val="auto"/>
          <w:sz w:val="24"/>
          <w:szCs w:val="24"/>
          <w:lang w:val="en-US" w:eastAsia="zh-CN"/>
        </w:rPr>
      </w:pPr>
      <w:r>
        <w:rPr>
          <w:rFonts w:hint="eastAsia"/>
          <w:color w:val="auto"/>
          <w:sz w:val="24"/>
          <w:szCs w:val="24"/>
          <w:lang w:val="en-US" w:eastAsia="zh-CN"/>
        </w:rPr>
        <w:t>针对设施农业生产中，水肥投入量大，地下水盐化趋势明显，灌溉水盐分含量增加的问题，并结合寿光地区苦咸水少有利用，设施农业生产淡水资源日趋受限的现实。以设施农业地下水低成本脱盐除硝为主要目标，基于离子交换、电化学等技术手段，开展基础及应用技术研究，解决设施农业区地下水水质及安全利用的实际需求问题。支持项目1-2项。</w:t>
      </w:r>
    </w:p>
    <w:p>
      <w:pPr>
        <w:numPr>
          <w:ilvl w:val="0"/>
          <w:numId w:val="0"/>
        </w:numPr>
        <w:spacing w:line="360" w:lineRule="auto"/>
        <w:ind w:firstLine="420" w:firstLineChars="0"/>
        <w:rPr>
          <w:rFonts w:hint="eastAsia"/>
          <w:color w:val="auto"/>
          <w:sz w:val="24"/>
          <w:szCs w:val="24"/>
          <w:lang w:val="en-US" w:eastAsia="zh-CN"/>
        </w:rPr>
      </w:pPr>
      <w:r>
        <w:rPr>
          <w:rFonts w:hint="eastAsia"/>
          <w:b/>
          <w:bCs/>
          <w:color w:val="auto"/>
          <w:sz w:val="24"/>
          <w:szCs w:val="24"/>
          <w:lang w:val="en-US" w:eastAsia="zh-CN"/>
        </w:rPr>
        <w:t>考核指标：</w:t>
      </w:r>
      <w:r>
        <w:rPr>
          <w:rFonts w:hint="eastAsia"/>
          <w:color w:val="auto"/>
          <w:sz w:val="24"/>
          <w:szCs w:val="24"/>
          <w:lang w:val="en-US" w:eastAsia="zh-CN"/>
        </w:rPr>
        <w:t>相关发明专利1-2项；形成低成本设施农业灌溉水脱盐技术，吨水</w:t>
      </w:r>
      <w:r>
        <w:rPr>
          <w:rFonts w:hint="eastAsia"/>
          <w:color w:val="auto"/>
          <w:sz w:val="24"/>
          <w:szCs w:val="24"/>
          <w:lang w:val="en-US" w:eastAsia="zh-CN"/>
        </w:rPr>
        <w:t>处理成本小于5元/吨，水循环利用效率大于70%；并最终形成可独立运行的成套技术设备。</w:t>
      </w:r>
    </w:p>
    <w:p>
      <w:pPr>
        <w:numPr>
          <w:ilvl w:val="0"/>
          <w:numId w:val="1"/>
        </w:numPr>
        <w:spacing w:line="360" w:lineRule="auto"/>
        <w:rPr>
          <w:rFonts w:hint="eastAsia"/>
          <w:b/>
          <w:bCs/>
          <w:color w:val="auto"/>
          <w:sz w:val="24"/>
          <w:szCs w:val="24"/>
          <w:lang w:val="en-US" w:eastAsia="zh-CN"/>
        </w:rPr>
      </w:pPr>
      <w:r>
        <w:rPr>
          <w:rFonts w:hint="eastAsia"/>
          <w:b/>
          <w:bCs/>
          <w:color w:val="auto"/>
          <w:sz w:val="24"/>
          <w:szCs w:val="24"/>
          <w:lang w:val="en-US" w:eastAsia="zh-CN"/>
        </w:rPr>
        <w:t>设施农业固体废弃物肥料化应用技术研发（编号：2018SG-Y-02）</w:t>
      </w:r>
    </w:p>
    <w:p>
      <w:pPr>
        <w:numPr>
          <w:ilvl w:val="0"/>
          <w:numId w:val="0"/>
        </w:numPr>
        <w:spacing w:line="360" w:lineRule="auto"/>
        <w:ind w:firstLine="420" w:firstLineChars="0"/>
        <w:rPr>
          <w:rFonts w:hint="eastAsia"/>
          <w:color w:val="auto"/>
          <w:sz w:val="24"/>
          <w:szCs w:val="24"/>
          <w:lang w:val="en-US" w:eastAsia="zh-CN"/>
        </w:rPr>
      </w:pPr>
      <w:r>
        <w:rPr>
          <w:rFonts w:hint="eastAsia"/>
          <w:color w:val="auto"/>
          <w:sz w:val="24"/>
          <w:szCs w:val="24"/>
          <w:lang w:val="en-US" w:eastAsia="zh-CN"/>
        </w:rPr>
        <w:t>以设施农业生产中的尾菜、枯秧等有机固体废弃物为主要原料，针对设施农业固体废弃物产量大、水分高、集中出现、不易规模存储的实际问题，研发以肥料化为主要技术出口的专项技术与工程设备，实现有机固体废弃物的资源化利用。支持项目1-2项。</w:t>
      </w:r>
    </w:p>
    <w:p>
      <w:pPr>
        <w:numPr>
          <w:ilvl w:val="0"/>
          <w:numId w:val="0"/>
        </w:numPr>
        <w:spacing w:line="360" w:lineRule="auto"/>
        <w:ind w:firstLine="420" w:firstLineChars="0"/>
        <w:rPr>
          <w:rFonts w:hint="eastAsia"/>
          <w:b/>
          <w:bCs/>
          <w:color w:val="auto"/>
          <w:sz w:val="24"/>
          <w:szCs w:val="24"/>
          <w:lang w:val="en-US" w:eastAsia="zh-CN"/>
        </w:rPr>
      </w:pPr>
      <w:r>
        <w:rPr>
          <w:rFonts w:hint="eastAsia"/>
          <w:b/>
          <w:bCs/>
          <w:color w:val="auto"/>
          <w:sz w:val="24"/>
          <w:szCs w:val="24"/>
          <w:lang w:val="en-US" w:eastAsia="zh-CN"/>
        </w:rPr>
        <w:t>考核指标：</w:t>
      </w:r>
      <w:r>
        <w:rPr>
          <w:rFonts w:hint="eastAsia"/>
          <w:color w:val="auto"/>
          <w:sz w:val="24"/>
          <w:szCs w:val="24"/>
          <w:lang w:val="en-US" w:eastAsia="zh-CN"/>
        </w:rPr>
        <w:t>相关专利1-2项；固体废弃</w:t>
      </w:r>
      <w:r>
        <w:rPr>
          <w:rFonts w:hint="eastAsia"/>
          <w:color w:val="auto"/>
          <w:sz w:val="24"/>
          <w:szCs w:val="24"/>
          <w:lang w:val="en-US" w:eastAsia="zh-CN"/>
        </w:rPr>
        <w:t>物吨处理成本低于700元/吨；资源综合利用效率大于60%。</w:t>
      </w:r>
      <w:r>
        <w:rPr>
          <w:rFonts w:hint="eastAsia"/>
          <w:color w:val="auto"/>
          <w:sz w:val="24"/>
          <w:szCs w:val="24"/>
          <w:lang w:val="en-US" w:eastAsia="zh-CN"/>
        </w:rPr>
        <w:br w:type="textWrapping"/>
      </w:r>
      <w:r>
        <w:rPr>
          <w:rFonts w:hint="eastAsia"/>
          <w:b/>
          <w:bCs/>
          <w:color w:val="auto"/>
          <w:sz w:val="24"/>
          <w:szCs w:val="24"/>
          <w:lang w:val="en-US" w:eastAsia="zh-CN"/>
        </w:rPr>
        <w:t>（3）育苗基质草炭减量化替代技术研发 （编号：2018SG-Y-03）</w:t>
      </w:r>
    </w:p>
    <w:p>
      <w:pPr>
        <w:numPr>
          <w:ilvl w:val="0"/>
          <w:numId w:val="0"/>
        </w:numPr>
        <w:spacing w:line="360" w:lineRule="auto"/>
        <w:ind w:firstLine="420" w:firstLineChars="0"/>
        <w:rPr>
          <w:rFonts w:hint="eastAsia"/>
          <w:color w:val="auto"/>
          <w:sz w:val="24"/>
          <w:szCs w:val="24"/>
          <w:lang w:val="en-US" w:eastAsia="zh-CN"/>
        </w:rPr>
      </w:pPr>
      <w:r>
        <w:rPr>
          <w:rFonts w:hint="eastAsia"/>
          <w:color w:val="auto"/>
          <w:sz w:val="24"/>
          <w:szCs w:val="24"/>
          <w:lang w:val="en-US" w:eastAsia="zh-CN"/>
        </w:rPr>
        <w:t>针对现有设施农业生产中，种苗培育多以草炭类基质为主；草炭类及相</w:t>
      </w:r>
      <w:r>
        <w:rPr>
          <w:rFonts w:hint="eastAsia"/>
          <w:color w:val="auto"/>
          <w:sz w:val="24"/>
          <w:szCs w:val="24"/>
          <w:lang w:val="en-US" w:eastAsia="zh-CN"/>
        </w:rPr>
        <w:t>关产品，原材料受控，市场波动大，质量差异明显的问题。探索草炭类基质减量化应用及替代产品研发的新途径，鼓励应用秸秆、畜禽粪便等农业固体废弃物资源生产基质产品，形成可工业化应用的技术集成及工艺包，争取1-2年内实现市场化成果转移。支持项目1-2项。</w:t>
      </w:r>
    </w:p>
    <w:p>
      <w:pPr>
        <w:numPr>
          <w:ilvl w:val="0"/>
          <w:numId w:val="0"/>
        </w:numPr>
        <w:spacing w:line="360" w:lineRule="auto"/>
        <w:ind w:firstLine="420" w:firstLineChars="0"/>
        <w:rPr>
          <w:rFonts w:hint="eastAsia"/>
          <w:color w:val="auto"/>
          <w:sz w:val="24"/>
          <w:szCs w:val="24"/>
          <w:lang w:val="en-US" w:eastAsia="zh-CN"/>
        </w:rPr>
      </w:pPr>
      <w:r>
        <w:rPr>
          <w:rFonts w:hint="eastAsia"/>
          <w:b/>
          <w:bCs/>
          <w:color w:val="auto"/>
          <w:sz w:val="24"/>
          <w:szCs w:val="24"/>
          <w:lang w:val="en-US" w:eastAsia="zh-CN"/>
        </w:rPr>
        <w:t>考核指标：</w:t>
      </w:r>
      <w:r>
        <w:rPr>
          <w:rFonts w:hint="eastAsia"/>
          <w:color w:val="auto"/>
          <w:sz w:val="24"/>
          <w:szCs w:val="24"/>
          <w:lang w:val="en-US" w:eastAsia="zh-CN"/>
        </w:rPr>
        <w:t>相关专利1-2项；基质产品生产成本不高于现阶段通用产品，综合生产成本控制在800</w:t>
      </w:r>
      <w:r>
        <w:rPr>
          <w:rFonts w:hint="eastAsia"/>
          <w:color w:val="auto"/>
          <w:sz w:val="24"/>
          <w:szCs w:val="24"/>
          <w:lang w:val="en-US" w:eastAsia="zh-CN"/>
        </w:rPr>
        <w:t>元/吨以内，产品盐分小于0.2%，</w:t>
      </w:r>
      <w:r>
        <w:rPr>
          <w:rFonts w:hint="eastAsia"/>
          <w:color w:val="auto"/>
          <w:sz w:val="24"/>
          <w:szCs w:val="24"/>
          <w:vertAlign w:val="baseline"/>
          <w:lang w:val="en-US" w:eastAsia="zh-CN"/>
        </w:rPr>
        <w:t>生长过程中无发霉，杂草出芽率控制在5%以内。</w:t>
      </w:r>
    </w:p>
    <w:p>
      <w:pPr>
        <w:numPr>
          <w:ilvl w:val="0"/>
          <w:numId w:val="0"/>
        </w:numPr>
        <w:spacing w:line="360" w:lineRule="auto"/>
        <w:rPr>
          <w:rFonts w:hint="eastAsia"/>
          <w:b/>
          <w:bCs/>
          <w:color w:val="auto"/>
          <w:sz w:val="24"/>
          <w:szCs w:val="24"/>
          <w:lang w:val="en-US" w:eastAsia="zh-CN"/>
        </w:rPr>
      </w:pPr>
      <w:r>
        <w:rPr>
          <w:rFonts w:hint="eastAsia"/>
          <w:b/>
          <w:bCs/>
          <w:color w:val="auto"/>
          <w:sz w:val="24"/>
          <w:szCs w:val="24"/>
          <w:lang w:val="en-US" w:eastAsia="zh-CN"/>
        </w:rPr>
        <w:t xml:space="preserve">（4）棚室盐渍土壤改良修复技术 </w:t>
      </w:r>
      <w:bookmarkStart w:id="4" w:name="OLE_LINK9"/>
      <w:r>
        <w:rPr>
          <w:rFonts w:hint="eastAsia"/>
          <w:b/>
          <w:bCs/>
          <w:color w:val="auto"/>
          <w:sz w:val="24"/>
          <w:szCs w:val="24"/>
          <w:lang w:val="en-US" w:eastAsia="zh-CN"/>
        </w:rPr>
        <w:t>（编号：2018SG-Y-04）</w:t>
      </w:r>
    </w:p>
    <w:bookmarkEnd w:id="4"/>
    <w:p>
      <w:pPr>
        <w:widowControl w:val="0"/>
        <w:numPr>
          <w:ilvl w:val="0"/>
          <w:numId w:val="0"/>
        </w:numPr>
        <w:spacing w:line="360" w:lineRule="auto"/>
        <w:ind w:firstLine="420" w:firstLineChars="0"/>
        <w:jc w:val="both"/>
        <w:rPr>
          <w:rFonts w:hint="eastAsia"/>
          <w:color w:val="auto"/>
          <w:sz w:val="24"/>
          <w:szCs w:val="24"/>
          <w:lang w:val="en-US" w:eastAsia="zh-CN"/>
        </w:rPr>
      </w:pPr>
      <w:r>
        <w:rPr>
          <w:rFonts w:hint="eastAsia"/>
          <w:color w:val="auto"/>
          <w:sz w:val="24"/>
          <w:szCs w:val="24"/>
          <w:lang w:val="en-US" w:eastAsia="zh-CN"/>
        </w:rPr>
        <w:t>针对设施菜地在长期大水肥的耕作模式下产生的次生盐害问题，分别从设施土壤盐害抗性提高，现有盐害土壤处理修复，盐害预防等方面开展集成技术研发，形成盐害土壤修复剂产品，盐害预防技术</w:t>
      </w:r>
      <w:bookmarkStart w:id="16" w:name="_GoBack"/>
      <w:bookmarkEnd w:id="16"/>
      <w:r>
        <w:rPr>
          <w:rFonts w:hint="eastAsia"/>
          <w:color w:val="auto"/>
          <w:sz w:val="24"/>
          <w:szCs w:val="24"/>
          <w:lang w:val="en-US" w:eastAsia="zh-CN"/>
        </w:rPr>
        <w:t>指南等技术产品。支持项目2-3项。</w:t>
      </w:r>
    </w:p>
    <w:p>
      <w:pPr>
        <w:numPr>
          <w:ilvl w:val="0"/>
          <w:numId w:val="0"/>
        </w:numPr>
        <w:spacing w:line="360" w:lineRule="auto"/>
        <w:ind w:firstLine="420" w:firstLineChars="0"/>
        <w:rPr>
          <w:rFonts w:hint="eastAsia"/>
          <w:color w:val="auto"/>
          <w:sz w:val="24"/>
          <w:szCs w:val="24"/>
          <w:lang w:val="en-US" w:eastAsia="zh-CN"/>
        </w:rPr>
      </w:pPr>
      <w:r>
        <w:rPr>
          <w:rFonts w:hint="eastAsia"/>
          <w:b/>
          <w:bCs/>
          <w:color w:val="auto"/>
          <w:sz w:val="24"/>
          <w:szCs w:val="24"/>
          <w:lang w:val="en-US" w:eastAsia="zh-CN"/>
        </w:rPr>
        <w:t>考核指标：</w:t>
      </w:r>
      <w:r>
        <w:rPr>
          <w:rFonts w:hint="eastAsia"/>
          <w:color w:val="auto"/>
          <w:sz w:val="24"/>
          <w:szCs w:val="24"/>
          <w:lang w:val="en-US" w:eastAsia="zh-CN"/>
        </w:rPr>
        <w:t>相关专利1-2项；形成土壤盐害修复剂等相关产品，提供具有可量化可操作的设施土壤盐害修复技术方案。</w:t>
      </w:r>
    </w:p>
    <w:p>
      <w:pPr>
        <w:numPr>
          <w:ilvl w:val="0"/>
          <w:numId w:val="0"/>
        </w:numPr>
        <w:spacing w:line="360" w:lineRule="auto"/>
        <w:rPr>
          <w:rFonts w:hint="eastAsia"/>
          <w:b/>
          <w:bCs/>
          <w:color w:val="auto"/>
          <w:sz w:val="24"/>
          <w:szCs w:val="24"/>
          <w:lang w:val="en-US" w:eastAsia="zh-CN"/>
        </w:rPr>
      </w:pPr>
      <w:r>
        <w:rPr>
          <w:rFonts w:hint="eastAsia"/>
          <w:b/>
          <w:bCs/>
          <w:color w:val="auto"/>
          <w:sz w:val="24"/>
          <w:szCs w:val="24"/>
          <w:lang w:val="en-US" w:eastAsia="zh-CN"/>
        </w:rPr>
        <w:t xml:space="preserve">（5）棚室消毒技术 </w:t>
      </w:r>
      <w:r>
        <w:rPr>
          <w:rFonts w:hint="eastAsia"/>
          <w:b/>
          <w:bCs/>
          <w:color w:val="auto"/>
          <w:sz w:val="24"/>
          <w:szCs w:val="24"/>
          <w:lang w:val="en-US" w:eastAsia="zh-CN"/>
        </w:rPr>
        <w:t>（编号：2018SG-Y-05）</w:t>
      </w:r>
    </w:p>
    <w:p>
      <w:pPr>
        <w:numPr>
          <w:ilvl w:val="0"/>
          <w:numId w:val="0"/>
        </w:numPr>
        <w:spacing w:line="360" w:lineRule="auto"/>
        <w:ind w:firstLine="420" w:firstLineChars="0"/>
        <w:rPr>
          <w:rFonts w:hint="eastAsia"/>
          <w:color w:val="auto"/>
          <w:sz w:val="24"/>
          <w:szCs w:val="24"/>
          <w:lang w:val="en-US" w:eastAsia="zh-CN"/>
        </w:rPr>
      </w:pPr>
      <w:r>
        <w:rPr>
          <w:rFonts w:hint="eastAsia"/>
          <w:color w:val="auto"/>
          <w:sz w:val="24"/>
          <w:szCs w:val="24"/>
          <w:lang w:val="en-US" w:eastAsia="zh-CN"/>
        </w:rPr>
        <w:t>针对设施菜地土壤土传病害问题，示范应用低成本土壤消毒技术与产品，技术接口好，可与其他土壤修复类技术相耦合，不产生排他效果。具有核心专利技术，争取实现成果转移转化。支持项目1-2项。</w:t>
      </w:r>
    </w:p>
    <w:p>
      <w:pPr>
        <w:numPr>
          <w:ilvl w:val="0"/>
          <w:numId w:val="0"/>
        </w:numPr>
        <w:spacing w:line="360" w:lineRule="auto"/>
        <w:ind w:firstLine="420" w:firstLineChars="0"/>
        <w:rPr>
          <w:rFonts w:hint="eastAsia"/>
          <w:color w:val="auto"/>
          <w:sz w:val="24"/>
          <w:szCs w:val="24"/>
          <w:lang w:val="en-US" w:eastAsia="zh-CN"/>
        </w:rPr>
      </w:pPr>
      <w:r>
        <w:rPr>
          <w:rFonts w:hint="eastAsia"/>
          <w:b/>
          <w:bCs/>
          <w:color w:val="auto"/>
          <w:sz w:val="24"/>
          <w:szCs w:val="24"/>
          <w:lang w:val="en-US" w:eastAsia="zh-CN"/>
        </w:rPr>
        <w:t>考核指标：</w:t>
      </w:r>
      <w:r>
        <w:rPr>
          <w:rFonts w:hint="eastAsia"/>
          <w:color w:val="auto"/>
          <w:sz w:val="24"/>
          <w:szCs w:val="24"/>
          <w:lang w:val="en-US" w:eastAsia="zh-CN"/>
        </w:rPr>
        <w:t>相关专利1-2项；提供具有可操作的设施土壤消毒技术方案，亩处理成本在100元以内，或较市场产品成本降低30%以上。</w:t>
      </w:r>
    </w:p>
    <w:p>
      <w:pPr>
        <w:numPr>
          <w:ilvl w:val="0"/>
          <w:numId w:val="0"/>
        </w:numPr>
        <w:spacing w:line="360" w:lineRule="auto"/>
        <w:rPr>
          <w:rFonts w:hint="eastAsia"/>
          <w:b/>
          <w:bCs/>
          <w:color w:val="auto"/>
          <w:sz w:val="24"/>
          <w:szCs w:val="24"/>
          <w:lang w:val="en-US" w:eastAsia="zh-CN"/>
        </w:rPr>
      </w:pPr>
      <w:r>
        <w:rPr>
          <w:rFonts w:hint="eastAsia"/>
          <w:b/>
          <w:bCs/>
          <w:color w:val="auto"/>
          <w:sz w:val="24"/>
          <w:szCs w:val="24"/>
          <w:lang w:val="en-US" w:eastAsia="zh-CN"/>
        </w:rPr>
        <w:t xml:space="preserve">（6）设施农业土壤生境修复技术 </w:t>
      </w:r>
      <w:bookmarkStart w:id="5" w:name="OLE_LINK10"/>
      <w:r>
        <w:rPr>
          <w:rFonts w:hint="eastAsia"/>
          <w:b/>
          <w:bCs/>
          <w:color w:val="auto"/>
          <w:sz w:val="24"/>
          <w:szCs w:val="24"/>
          <w:lang w:val="en-US" w:eastAsia="zh-CN"/>
        </w:rPr>
        <w:t>（编号：2018SG-Y-06）</w:t>
      </w:r>
      <w:bookmarkEnd w:id="5"/>
    </w:p>
    <w:p>
      <w:pPr>
        <w:numPr>
          <w:ilvl w:val="0"/>
          <w:numId w:val="0"/>
        </w:numPr>
        <w:spacing w:line="360" w:lineRule="auto"/>
        <w:ind w:firstLine="420" w:firstLineChars="0"/>
        <w:rPr>
          <w:rFonts w:hint="eastAsia"/>
          <w:color w:val="auto"/>
          <w:sz w:val="24"/>
          <w:szCs w:val="24"/>
          <w:lang w:val="en-US" w:eastAsia="zh-CN"/>
        </w:rPr>
      </w:pPr>
      <w:r>
        <w:rPr>
          <w:rFonts w:hint="eastAsia"/>
          <w:color w:val="auto"/>
          <w:sz w:val="24"/>
          <w:szCs w:val="24"/>
          <w:lang w:val="en-US" w:eastAsia="zh-CN"/>
        </w:rPr>
        <w:t>从维系设施农业土壤生境健康入手，以微生物、土壤动物为主要观测评价指标，形成区域设施农业土壤健康状况评价体系；以土壤有益微生物群落构建为主要目标，运用生物工程手段，形成设施农业土壤健康微生物恢复与维持技术与产品，提高设施农业土壤系统抗性。支持项目1-2项。</w:t>
      </w:r>
    </w:p>
    <w:p>
      <w:pPr>
        <w:numPr>
          <w:ilvl w:val="0"/>
          <w:numId w:val="0"/>
        </w:numPr>
        <w:spacing w:line="360" w:lineRule="auto"/>
        <w:ind w:firstLine="420" w:firstLineChars="0"/>
        <w:rPr>
          <w:rFonts w:hint="eastAsia"/>
          <w:color w:val="auto"/>
          <w:sz w:val="24"/>
          <w:szCs w:val="24"/>
          <w:lang w:val="en-US" w:eastAsia="zh-CN"/>
        </w:rPr>
      </w:pPr>
      <w:r>
        <w:rPr>
          <w:rFonts w:hint="eastAsia"/>
          <w:b/>
          <w:bCs/>
          <w:color w:val="auto"/>
          <w:sz w:val="24"/>
          <w:szCs w:val="24"/>
          <w:lang w:val="en-US" w:eastAsia="zh-CN"/>
        </w:rPr>
        <w:t>考核指标：</w:t>
      </w:r>
      <w:r>
        <w:rPr>
          <w:rFonts w:hint="eastAsia"/>
          <w:color w:val="auto"/>
          <w:sz w:val="24"/>
          <w:szCs w:val="24"/>
          <w:lang w:val="en-US" w:eastAsia="zh-CN"/>
        </w:rPr>
        <w:t>形成区域设施农业土壤健康状况评价指标体系（生物类）；形成1-2项目生物制剂产品，相关产品完成中试。</w:t>
      </w:r>
    </w:p>
    <w:p>
      <w:pPr>
        <w:numPr>
          <w:ilvl w:val="0"/>
          <w:numId w:val="0"/>
        </w:numPr>
        <w:spacing w:line="360" w:lineRule="auto"/>
        <w:rPr>
          <w:rFonts w:hint="eastAsia"/>
          <w:b/>
          <w:bCs/>
          <w:color w:val="auto"/>
          <w:sz w:val="24"/>
          <w:szCs w:val="24"/>
          <w:lang w:val="en-US" w:eastAsia="zh-CN"/>
        </w:rPr>
      </w:pPr>
      <w:r>
        <w:rPr>
          <w:rFonts w:hint="eastAsia"/>
          <w:b/>
          <w:bCs/>
          <w:color w:val="auto"/>
          <w:sz w:val="24"/>
          <w:szCs w:val="24"/>
          <w:lang w:val="en-US" w:eastAsia="zh-CN"/>
        </w:rPr>
        <w:t xml:space="preserve">（7）设施农业土壤、农产品速测与农产品溯源技术 </w:t>
      </w:r>
      <w:bookmarkStart w:id="6" w:name="OLE_LINK11"/>
      <w:r>
        <w:rPr>
          <w:rFonts w:hint="eastAsia"/>
          <w:b/>
          <w:bCs/>
          <w:color w:val="auto"/>
          <w:sz w:val="24"/>
          <w:szCs w:val="24"/>
          <w:lang w:val="en-US" w:eastAsia="zh-CN"/>
        </w:rPr>
        <w:t>（编号：2018SG-Y-07）</w:t>
      </w:r>
    </w:p>
    <w:bookmarkEnd w:id="6"/>
    <w:p>
      <w:pPr>
        <w:numPr>
          <w:ilvl w:val="0"/>
          <w:numId w:val="0"/>
        </w:numPr>
        <w:spacing w:line="360" w:lineRule="auto"/>
        <w:ind w:firstLine="420" w:firstLineChars="0"/>
        <w:rPr>
          <w:rFonts w:hint="eastAsia"/>
          <w:color w:val="auto"/>
          <w:sz w:val="24"/>
          <w:szCs w:val="24"/>
          <w:lang w:val="en-US" w:eastAsia="zh-CN"/>
        </w:rPr>
      </w:pPr>
      <w:r>
        <w:rPr>
          <w:rFonts w:hint="eastAsia"/>
          <w:color w:val="auto"/>
          <w:sz w:val="24"/>
          <w:szCs w:val="24"/>
          <w:lang w:val="en-US" w:eastAsia="zh-CN"/>
        </w:rPr>
        <w:t>以建立稳定可靠的设施农业生产体系为目标，从土壤、农产品质量监管指标体系入手，开展设施农业土壤、农产品低成本高可靠性的技术与产品研发；建立简单有效的农产品质量安全溯源技术体系，扩大农产品安全检测范围，确保农产品质量安全。支持项目1-2项。</w:t>
      </w:r>
    </w:p>
    <w:p>
      <w:pPr>
        <w:numPr>
          <w:ilvl w:val="0"/>
          <w:numId w:val="0"/>
        </w:numPr>
        <w:spacing w:line="360" w:lineRule="auto"/>
        <w:ind w:firstLine="420" w:firstLineChars="0"/>
        <w:rPr>
          <w:rFonts w:hint="eastAsia"/>
          <w:color w:val="auto"/>
          <w:sz w:val="24"/>
          <w:szCs w:val="24"/>
          <w:vertAlign w:val="baseline"/>
          <w:lang w:val="en-US" w:eastAsia="zh-CN"/>
        </w:rPr>
      </w:pPr>
      <w:r>
        <w:rPr>
          <w:rFonts w:hint="eastAsia"/>
          <w:color w:val="auto"/>
          <w:sz w:val="24"/>
          <w:szCs w:val="24"/>
          <w:lang w:val="en-US" w:eastAsia="zh-CN"/>
        </w:rPr>
        <w:t>考核指标：研发设计通用性强检测成本低的土壤、农产品速测技术产品1台套以上；申请发明专利1项以上；形成可在区域田间推广的农产品溯源技术体系，示范技术体系覆盖范围100km</w:t>
      </w:r>
      <w:r>
        <w:rPr>
          <w:rFonts w:hint="eastAsia"/>
          <w:color w:val="auto"/>
          <w:sz w:val="24"/>
          <w:szCs w:val="24"/>
          <w:vertAlign w:val="superscript"/>
          <w:lang w:val="en-US" w:eastAsia="zh-CN"/>
        </w:rPr>
        <w:t>2</w:t>
      </w:r>
      <w:r>
        <w:rPr>
          <w:rFonts w:hint="eastAsia"/>
          <w:color w:val="auto"/>
          <w:sz w:val="24"/>
          <w:szCs w:val="24"/>
          <w:vertAlign w:val="baseline"/>
          <w:lang w:val="en-US" w:eastAsia="zh-CN"/>
        </w:rPr>
        <w:t>以上。</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right="0" w:rightChars="0" w:firstLine="420" w:firstLineChars="0"/>
        <w:jc w:val="both"/>
        <w:textAlignment w:val="auto"/>
        <w:outlineLvl w:val="9"/>
        <w:rPr>
          <w:rFonts w:hint="eastAsia"/>
          <w:b/>
          <w:bCs/>
          <w:color w:val="auto"/>
          <w:sz w:val="24"/>
          <w:szCs w:val="24"/>
          <w:lang w:val="en-US" w:eastAsia="zh-CN"/>
        </w:rPr>
      </w:pPr>
      <w:bookmarkStart w:id="7" w:name="OLE_LINK2"/>
      <w:r>
        <w:rPr>
          <w:rFonts w:hint="eastAsia"/>
          <w:b/>
          <w:bCs/>
          <w:color w:val="auto"/>
          <w:sz w:val="24"/>
          <w:szCs w:val="24"/>
          <w:lang w:val="en-US" w:eastAsia="zh-CN"/>
        </w:rPr>
        <w:t>基础研究类：</w:t>
      </w:r>
    </w:p>
    <w:bookmarkEnd w:id="7"/>
    <w:p>
      <w:pPr>
        <w:numPr>
          <w:ilvl w:val="0"/>
          <w:numId w:val="0"/>
        </w:numPr>
        <w:spacing w:line="360" w:lineRule="auto"/>
        <w:rPr>
          <w:rFonts w:hint="eastAsia"/>
          <w:b/>
          <w:bCs/>
          <w:color w:val="auto"/>
          <w:sz w:val="24"/>
          <w:szCs w:val="24"/>
          <w:lang w:val="en-US" w:eastAsia="zh-CN"/>
        </w:rPr>
      </w:pPr>
      <w:r>
        <w:rPr>
          <w:rFonts w:hint="eastAsia"/>
          <w:b/>
          <w:bCs/>
          <w:color w:val="auto"/>
          <w:sz w:val="24"/>
          <w:szCs w:val="24"/>
          <w:lang w:val="en-US" w:eastAsia="zh-CN"/>
        </w:rPr>
        <w:t xml:space="preserve">（1）寿光地区农业结构变迁及驱动因素研究 </w:t>
      </w:r>
      <w:r>
        <w:rPr>
          <w:rFonts w:hint="eastAsia"/>
          <w:b/>
          <w:bCs/>
          <w:color w:val="auto"/>
          <w:sz w:val="24"/>
          <w:szCs w:val="24"/>
          <w:lang w:val="en-US" w:eastAsia="zh-CN"/>
        </w:rPr>
        <w:t>（编号：2018SG-B-01）</w:t>
      </w:r>
    </w:p>
    <w:p>
      <w:pPr>
        <w:spacing w:line="360" w:lineRule="auto"/>
        <w:ind w:firstLine="480" w:firstLineChars="200"/>
        <w:rPr>
          <w:rFonts w:hint="eastAsia"/>
          <w:color w:val="auto"/>
          <w:sz w:val="24"/>
          <w:szCs w:val="24"/>
          <w:lang w:val="en-US" w:eastAsia="zh-CN"/>
        </w:rPr>
      </w:pPr>
      <w:r>
        <w:rPr>
          <w:rFonts w:hint="eastAsia"/>
          <w:color w:val="auto"/>
          <w:sz w:val="24"/>
          <w:szCs w:val="24"/>
        </w:rPr>
        <w:t>从生态经济学的角度阐明</w:t>
      </w:r>
      <w:r>
        <w:rPr>
          <w:rFonts w:hint="eastAsia"/>
          <w:color w:val="auto"/>
          <w:sz w:val="24"/>
          <w:szCs w:val="24"/>
          <w:lang w:val="en-US" w:eastAsia="zh-CN"/>
        </w:rPr>
        <w:t>寿光地区土地利用方式，农业生产结构变迁的历史规律，为区域生态农业的发展提供本地社会、经济与系统内变化参数。并就</w:t>
      </w:r>
      <w:r>
        <w:rPr>
          <w:rFonts w:hint="eastAsia"/>
          <w:color w:val="auto"/>
          <w:sz w:val="24"/>
          <w:szCs w:val="24"/>
        </w:rPr>
        <w:t>设施蔬菜</w:t>
      </w:r>
      <w:r>
        <w:rPr>
          <w:rFonts w:hint="eastAsia"/>
          <w:color w:val="auto"/>
          <w:sz w:val="24"/>
          <w:szCs w:val="24"/>
          <w:lang w:val="en-US" w:eastAsia="zh-CN"/>
        </w:rPr>
        <w:t>生产过程的</w:t>
      </w:r>
      <w:r>
        <w:rPr>
          <w:rFonts w:hint="eastAsia"/>
          <w:color w:val="auto"/>
          <w:sz w:val="24"/>
          <w:szCs w:val="24"/>
        </w:rPr>
        <w:t>环境</w:t>
      </w:r>
      <w:r>
        <w:rPr>
          <w:rFonts w:hint="eastAsia"/>
          <w:color w:val="auto"/>
          <w:sz w:val="24"/>
          <w:szCs w:val="24"/>
          <w:lang w:val="en-US" w:eastAsia="zh-CN"/>
        </w:rPr>
        <w:t>效益</w:t>
      </w:r>
      <w:r>
        <w:rPr>
          <w:rFonts w:hint="eastAsia"/>
          <w:color w:val="auto"/>
          <w:sz w:val="24"/>
          <w:szCs w:val="24"/>
        </w:rPr>
        <w:t>，</w:t>
      </w:r>
      <w:r>
        <w:rPr>
          <w:rFonts w:hint="eastAsia"/>
          <w:color w:val="auto"/>
          <w:sz w:val="24"/>
          <w:szCs w:val="24"/>
          <w:lang w:val="en-US" w:eastAsia="zh-CN"/>
        </w:rPr>
        <w:t>开展</w:t>
      </w:r>
      <w:r>
        <w:rPr>
          <w:rFonts w:hint="eastAsia"/>
          <w:color w:val="auto"/>
          <w:sz w:val="24"/>
          <w:szCs w:val="24"/>
        </w:rPr>
        <w:t>经济效益</w:t>
      </w:r>
      <w:r>
        <w:rPr>
          <w:rFonts w:hint="eastAsia"/>
          <w:color w:val="auto"/>
          <w:sz w:val="24"/>
          <w:szCs w:val="24"/>
          <w:lang w:val="en-US" w:eastAsia="zh-CN"/>
        </w:rPr>
        <w:t>与</w:t>
      </w:r>
      <w:r>
        <w:rPr>
          <w:rFonts w:hint="eastAsia"/>
          <w:color w:val="auto"/>
          <w:sz w:val="24"/>
          <w:szCs w:val="24"/>
        </w:rPr>
        <w:t>环境影响间的关系</w:t>
      </w:r>
      <w:r>
        <w:rPr>
          <w:rFonts w:hint="eastAsia"/>
          <w:color w:val="auto"/>
          <w:sz w:val="24"/>
          <w:szCs w:val="24"/>
          <w:lang w:val="en-US" w:eastAsia="zh-CN"/>
        </w:rPr>
        <w:t>研究，为形成区域设施农业发展规划提供支撑。支持项目1-2项。</w:t>
      </w:r>
    </w:p>
    <w:p>
      <w:pPr>
        <w:spacing w:line="360" w:lineRule="auto"/>
        <w:ind w:firstLine="482" w:firstLineChars="200"/>
        <w:rPr>
          <w:rFonts w:hint="eastAsia"/>
          <w:color w:val="auto"/>
          <w:sz w:val="24"/>
          <w:szCs w:val="24"/>
          <w:lang w:val="en-US" w:eastAsia="zh-CN"/>
        </w:rPr>
      </w:pPr>
      <w:r>
        <w:rPr>
          <w:rFonts w:hint="eastAsia"/>
          <w:b/>
          <w:bCs/>
          <w:color w:val="auto"/>
          <w:sz w:val="24"/>
          <w:szCs w:val="24"/>
          <w:lang w:val="en-US" w:eastAsia="zh-CN"/>
        </w:rPr>
        <w:t>考核指标：</w:t>
      </w:r>
      <w:r>
        <w:rPr>
          <w:rFonts w:hint="eastAsia"/>
          <w:color w:val="auto"/>
          <w:sz w:val="24"/>
          <w:szCs w:val="24"/>
          <w:lang w:val="en-US" w:eastAsia="zh-CN"/>
        </w:rPr>
        <w:t>给政府提出咨询报告一份；完成覆盖寿光行政区范围的区域性生态经济评价报告（10万字）；明确</w:t>
      </w:r>
      <w:r>
        <w:rPr>
          <w:rFonts w:hint="eastAsia"/>
          <w:color w:val="auto"/>
          <w:sz w:val="24"/>
          <w:szCs w:val="24"/>
        </w:rPr>
        <w:t>设施蔬菜投入产出效益变化规律</w:t>
      </w:r>
      <w:r>
        <w:rPr>
          <w:rFonts w:hint="eastAsia"/>
          <w:color w:val="auto"/>
          <w:sz w:val="24"/>
          <w:szCs w:val="24"/>
          <w:lang w:eastAsia="zh-CN"/>
        </w:rPr>
        <w:t>，</w:t>
      </w:r>
      <w:r>
        <w:rPr>
          <w:rFonts w:hint="eastAsia"/>
          <w:color w:val="auto"/>
          <w:sz w:val="24"/>
          <w:szCs w:val="24"/>
          <w:lang w:val="en-US" w:eastAsia="zh-CN"/>
        </w:rPr>
        <w:t>基于生态农业理论形成区域发展规划，发表核心期刊论文1-2篇。</w:t>
      </w:r>
    </w:p>
    <w:p>
      <w:pPr>
        <w:numPr>
          <w:ilvl w:val="0"/>
          <w:numId w:val="0"/>
        </w:numPr>
        <w:spacing w:line="360" w:lineRule="auto"/>
        <w:ind w:firstLine="420" w:firstLineChars="0"/>
        <w:rPr>
          <w:rFonts w:hint="eastAsia"/>
          <w:b/>
          <w:bCs/>
          <w:color w:val="auto"/>
          <w:sz w:val="24"/>
          <w:szCs w:val="24"/>
          <w:lang w:val="en-US" w:eastAsia="zh-CN"/>
        </w:rPr>
      </w:pPr>
      <w:bookmarkStart w:id="8" w:name="OLE_LINK5"/>
      <w:r>
        <w:rPr>
          <w:rFonts w:hint="eastAsia"/>
          <w:b/>
          <w:bCs/>
          <w:color w:val="auto"/>
          <w:sz w:val="24"/>
          <w:szCs w:val="24"/>
          <w:lang w:val="en-US" w:eastAsia="zh-CN"/>
        </w:rPr>
        <w:t>（2）</w:t>
      </w:r>
      <w:bookmarkEnd w:id="8"/>
      <w:r>
        <w:rPr>
          <w:rFonts w:hint="eastAsia"/>
          <w:b/>
          <w:bCs/>
          <w:color w:val="auto"/>
          <w:sz w:val="24"/>
          <w:szCs w:val="24"/>
          <w:lang w:val="en-US" w:eastAsia="zh-CN"/>
        </w:rPr>
        <w:t xml:space="preserve">寿光地区设施农业现状评价 </w:t>
      </w:r>
      <w:bookmarkStart w:id="9" w:name="OLE_LINK12"/>
      <w:r>
        <w:rPr>
          <w:rFonts w:hint="eastAsia"/>
          <w:b/>
          <w:bCs/>
          <w:color w:val="auto"/>
          <w:sz w:val="24"/>
          <w:szCs w:val="24"/>
          <w:lang w:val="en-US" w:eastAsia="zh-CN"/>
        </w:rPr>
        <w:t>（编号：2018SG-B-02）</w:t>
      </w:r>
      <w:bookmarkEnd w:id="9"/>
    </w:p>
    <w:p>
      <w:pPr>
        <w:numPr>
          <w:ilvl w:val="0"/>
          <w:numId w:val="0"/>
        </w:numPr>
        <w:spacing w:line="360" w:lineRule="auto"/>
        <w:ind w:firstLine="420" w:firstLineChars="0"/>
        <w:rPr>
          <w:rFonts w:hint="eastAsia"/>
          <w:color w:val="auto"/>
          <w:sz w:val="24"/>
          <w:szCs w:val="24"/>
          <w:lang w:val="en-US" w:eastAsia="zh-CN"/>
        </w:rPr>
      </w:pPr>
      <w:r>
        <w:rPr>
          <w:rFonts w:hint="eastAsia"/>
          <w:color w:val="auto"/>
          <w:sz w:val="24"/>
          <w:szCs w:val="24"/>
          <w:lang w:val="en-US" w:eastAsia="zh-CN"/>
        </w:rPr>
        <w:t>开展寿光地区设施农业发展现状评价，重点对设施土壤状况及改变情况进行摸底筛查，明确区域设施农业土壤存在的主要问题，为相关政策制定和技术的实施示范找准方向提供思路。支持项目1项。</w:t>
      </w:r>
    </w:p>
    <w:p>
      <w:pPr>
        <w:numPr>
          <w:ilvl w:val="0"/>
          <w:numId w:val="0"/>
        </w:numPr>
        <w:spacing w:line="360" w:lineRule="auto"/>
        <w:ind w:firstLine="420" w:firstLineChars="0"/>
        <w:rPr>
          <w:rFonts w:hint="eastAsia"/>
          <w:color w:val="auto"/>
          <w:sz w:val="24"/>
          <w:szCs w:val="24"/>
          <w:lang w:val="en-US" w:eastAsia="zh-CN"/>
        </w:rPr>
      </w:pPr>
      <w:r>
        <w:rPr>
          <w:rFonts w:hint="eastAsia"/>
          <w:color w:val="auto"/>
          <w:sz w:val="24"/>
          <w:szCs w:val="24"/>
          <w:lang w:val="en-US" w:eastAsia="zh-CN"/>
        </w:rPr>
        <w:t>考核指标：形成寿光全域境土壤地理信息数据库，比例尺不小于1:1万，数据库</w:t>
      </w:r>
      <w:r>
        <w:rPr>
          <w:rFonts w:hint="eastAsia"/>
          <w:color w:val="auto"/>
          <w:sz w:val="24"/>
          <w:szCs w:val="24"/>
          <w:vertAlign w:val="baseline"/>
          <w:lang w:val="en-US" w:eastAsia="zh-CN"/>
        </w:rPr>
        <w:t>指标需涵盖设施农业土壤主要养分</w:t>
      </w:r>
      <w:r>
        <w:rPr>
          <w:rFonts w:hint="eastAsia"/>
          <w:color w:val="auto"/>
          <w:sz w:val="24"/>
          <w:szCs w:val="24"/>
          <w:lang w:val="en-US" w:eastAsia="zh-CN"/>
        </w:rPr>
        <w:t>；样点网格覆盖密度不少于1-3个/5km</w:t>
      </w:r>
      <w:r>
        <w:rPr>
          <w:rFonts w:hint="eastAsia"/>
          <w:color w:val="auto"/>
          <w:sz w:val="24"/>
          <w:szCs w:val="24"/>
          <w:vertAlign w:val="superscript"/>
          <w:lang w:val="en-US" w:eastAsia="zh-CN"/>
        </w:rPr>
        <w:t>2</w:t>
      </w:r>
      <w:r>
        <w:rPr>
          <w:rFonts w:hint="eastAsia"/>
          <w:color w:val="auto"/>
          <w:sz w:val="24"/>
          <w:szCs w:val="24"/>
          <w:vertAlign w:val="baseline"/>
          <w:lang w:val="en-US" w:eastAsia="zh-CN"/>
        </w:rPr>
        <w:t>，形成全域设施农业土壤状况调查报告。</w:t>
      </w:r>
    </w:p>
    <w:p>
      <w:pPr>
        <w:numPr>
          <w:ilvl w:val="0"/>
          <w:numId w:val="0"/>
        </w:numPr>
        <w:spacing w:line="360" w:lineRule="auto"/>
        <w:ind w:firstLine="420" w:firstLineChars="0"/>
        <w:rPr>
          <w:rFonts w:hint="eastAsia"/>
          <w:b/>
          <w:bCs/>
          <w:color w:val="auto"/>
          <w:sz w:val="24"/>
          <w:szCs w:val="24"/>
        </w:rPr>
      </w:pPr>
      <w:r>
        <w:rPr>
          <w:rFonts w:hint="eastAsia"/>
          <w:b/>
          <w:bCs/>
          <w:color w:val="auto"/>
          <w:sz w:val="24"/>
          <w:szCs w:val="24"/>
          <w:lang w:val="en-US" w:eastAsia="zh-CN"/>
        </w:rPr>
        <w:t>（3）寿光地区</w:t>
      </w:r>
      <w:r>
        <w:rPr>
          <w:rFonts w:hint="eastAsia"/>
          <w:b/>
          <w:bCs/>
          <w:color w:val="auto"/>
          <w:sz w:val="24"/>
          <w:szCs w:val="24"/>
        </w:rPr>
        <w:t>设施</w:t>
      </w:r>
      <w:r>
        <w:rPr>
          <w:rFonts w:hint="eastAsia"/>
          <w:b/>
          <w:bCs/>
          <w:color w:val="auto"/>
          <w:sz w:val="24"/>
          <w:szCs w:val="24"/>
          <w:lang w:val="en-US" w:eastAsia="zh-CN"/>
        </w:rPr>
        <w:t>农业</w:t>
      </w:r>
      <w:r>
        <w:rPr>
          <w:rFonts w:hint="eastAsia"/>
          <w:b/>
          <w:bCs/>
          <w:color w:val="auto"/>
          <w:sz w:val="24"/>
          <w:szCs w:val="24"/>
        </w:rPr>
        <w:t>氮平衡</w:t>
      </w:r>
      <w:r>
        <w:rPr>
          <w:rFonts w:hint="eastAsia"/>
          <w:b/>
          <w:bCs/>
          <w:color w:val="auto"/>
          <w:sz w:val="24"/>
          <w:szCs w:val="24"/>
          <w:lang w:val="en-US" w:eastAsia="zh-CN"/>
        </w:rPr>
        <w:t>与</w:t>
      </w:r>
      <w:r>
        <w:rPr>
          <w:rFonts w:hint="eastAsia"/>
          <w:b/>
          <w:bCs/>
          <w:color w:val="auto"/>
          <w:sz w:val="24"/>
          <w:szCs w:val="24"/>
        </w:rPr>
        <w:t>氮去向研究</w:t>
      </w:r>
      <w:r>
        <w:rPr>
          <w:rFonts w:hint="eastAsia"/>
          <w:b/>
          <w:bCs/>
          <w:color w:val="auto"/>
          <w:sz w:val="24"/>
          <w:szCs w:val="24"/>
          <w:lang w:val="en-US" w:eastAsia="zh-CN"/>
        </w:rPr>
        <w:t xml:space="preserve"> </w:t>
      </w:r>
      <w:bookmarkStart w:id="10" w:name="OLE_LINK13"/>
      <w:r>
        <w:rPr>
          <w:rFonts w:hint="eastAsia"/>
          <w:b/>
          <w:bCs/>
          <w:color w:val="auto"/>
          <w:sz w:val="24"/>
          <w:szCs w:val="24"/>
          <w:lang w:val="en-US" w:eastAsia="zh-CN"/>
        </w:rPr>
        <w:t>（编号：2018SG-B-03）</w:t>
      </w:r>
    </w:p>
    <w:bookmarkEnd w:id="10"/>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以设施农业氮素循环为主要研究内容，结合农业生产结构变迁阐明区域氮足迹及氮分布，明晰区域氮平衡与氮循环关键节点，为应用技术手段控制氮素损失，提高肥料利用率，提供理论框架。支持项目1项。</w:t>
      </w:r>
    </w:p>
    <w:p>
      <w:pPr>
        <w:numPr>
          <w:ilvl w:val="0"/>
          <w:numId w:val="0"/>
        </w:numPr>
        <w:spacing w:line="360" w:lineRule="auto"/>
        <w:ind w:firstLine="420" w:firstLineChars="0"/>
        <w:rPr>
          <w:rFonts w:hint="eastAsia"/>
          <w:color w:val="auto"/>
          <w:sz w:val="24"/>
          <w:szCs w:val="24"/>
          <w:lang w:val="en-US" w:eastAsia="zh-CN"/>
        </w:rPr>
      </w:pPr>
      <w:r>
        <w:rPr>
          <w:rFonts w:hint="eastAsia"/>
          <w:b/>
          <w:bCs/>
          <w:color w:val="auto"/>
          <w:sz w:val="24"/>
          <w:szCs w:val="24"/>
          <w:lang w:val="en-US" w:eastAsia="zh-CN"/>
        </w:rPr>
        <w:t>考核指标：</w:t>
      </w:r>
      <w:r>
        <w:rPr>
          <w:rFonts w:hint="eastAsia"/>
          <w:color w:val="auto"/>
          <w:sz w:val="24"/>
          <w:szCs w:val="24"/>
          <w:lang w:val="en-US" w:eastAsia="zh-CN"/>
        </w:rPr>
        <w:t>区域氮平衡和氮足迹分析报告，明确区域耕作措施外源氮素投入消减潜力，发表高水平SCI论文1-2篇。</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0" w:leftChars="0" w:right="0" w:rightChars="0" w:firstLine="420" w:firstLineChars="0"/>
        <w:jc w:val="both"/>
        <w:textAlignment w:val="auto"/>
        <w:outlineLvl w:val="9"/>
        <w:rPr>
          <w:rFonts w:hint="eastAsia"/>
          <w:b/>
          <w:bCs/>
          <w:color w:val="auto"/>
          <w:sz w:val="24"/>
          <w:szCs w:val="24"/>
          <w:lang w:val="en-US" w:eastAsia="zh-CN"/>
        </w:rPr>
      </w:pPr>
      <w:bookmarkStart w:id="11" w:name="OLE_LINK3"/>
      <w:r>
        <w:rPr>
          <w:rFonts w:hint="eastAsia"/>
          <w:b/>
          <w:bCs/>
          <w:color w:val="auto"/>
          <w:sz w:val="24"/>
          <w:szCs w:val="24"/>
          <w:lang w:val="en-US" w:eastAsia="zh-CN"/>
        </w:rPr>
        <w:t>示范应用类：</w:t>
      </w:r>
    </w:p>
    <w:bookmarkEnd w:id="11"/>
    <w:p>
      <w:pPr>
        <w:numPr>
          <w:ilvl w:val="0"/>
          <w:numId w:val="0"/>
        </w:numPr>
        <w:spacing w:line="360" w:lineRule="auto"/>
        <w:ind w:firstLine="420" w:firstLineChars="0"/>
        <w:rPr>
          <w:rFonts w:hint="eastAsia"/>
          <w:b/>
          <w:bCs/>
          <w:color w:val="auto"/>
          <w:sz w:val="24"/>
          <w:szCs w:val="24"/>
          <w:lang w:val="en-US" w:eastAsia="zh-CN"/>
        </w:rPr>
      </w:pPr>
      <w:bookmarkStart w:id="12" w:name="OLE_LINK15"/>
      <w:r>
        <w:rPr>
          <w:rFonts w:hint="eastAsia"/>
          <w:b/>
          <w:bCs/>
          <w:color w:val="auto"/>
          <w:sz w:val="24"/>
          <w:szCs w:val="24"/>
          <w:lang w:val="en-US" w:eastAsia="zh-CN"/>
        </w:rPr>
        <w:t>（1）</w:t>
      </w:r>
      <w:bookmarkEnd w:id="12"/>
      <w:r>
        <w:rPr>
          <w:rFonts w:hint="eastAsia"/>
          <w:b/>
          <w:bCs/>
          <w:color w:val="auto"/>
          <w:sz w:val="24"/>
          <w:szCs w:val="24"/>
          <w:lang w:val="en-US" w:eastAsia="zh-CN"/>
        </w:rPr>
        <w:t xml:space="preserve">设施农业绿色高效肥料与施肥模式示范 </w:t>
      </w:r>
      <w:bookmarkStart w:id="13" w:name="OLE_LINK14"/>
      <w:r>
        <w:rPr>
          <w:rFonts w:hint="eastAsia"/>
          <w:b/>
          <w:bCs/>
          <w:color w:val="auto"/>
          <w:sz w:val="24"/>
          <w:szCs w:val="24"/>
          <w:lang w:val="en-US" w:eastAsia="zh-CN"/>
        </w:rPr>
        <w:t>（编号：2018SG-S-01）</w:t>
      </w:r>
      <w:bookmarkEnd w:id="13"/>
    </w:p>
    <w:p>
      <w:pPr>
        <w:numPr>
          <w:ilvl w:val="0"/>
          <w:numId w:val="0"/>
        </w:numPr>
        <w:spacing w:line="360" w:lineRule="auto"/>
        <w:ind w:firstLine="420" w:firstLineChars="0"/>
        <w:rPr>
          <w:rFonts w:hint="eastAsia"/>
          <w:color w:val="auto"/>
          <w:sz w:val="24"/>
          <w:szCs w:val="24"/>
          <w:lang w:val="en-US" w:eastAsia="zh-CN"/>
        </w:rPr>
      </w:pPr>
      <w:r>
        <w:rPr>
          <w:rFonts w:hint="eastAsia"/>
          <w:color w:val="auto"/>
          <w:sz w:val="24"/>
          <w:szCs w:val="24"/>
          <w:lang w:val="en-US" w:eastAsia="zh-CN"/>
        </w:rPr>
        <w:t>针对寿光地区设施农业存在的“大水大肥”肥料利用效率低，农业生产综合效益差的问题。从高效肥料筛选，科学配方组合和绿色示范模式模式入手开展肥料相关技术集成示范。形成以稳定性肥料为基础，科学冲施肥配方为支撑，土壤调理剂为补充的区域高效绿色施肥技术与模式示范。支持项目1项。</w:t>
      </w:r>
    </w:p>
    <w:p>
      <w:pPr>
        <w:numPr>
          <w:ilvl w:val="0"/>
          <w:numId w:val="0"/>
        </w:numPr>
        <w:spacing w:line="360" w:lineRule="auto"/>
        <w:ind w:firstLine="420" w:firstLineChars="0"/>
        <w:rPr>
          <w:rFonts w:hint="eastAsia"/>
          <w:color w:val="auto"/>
          <w:sz w:val="24"/>
          <w:szCs w:val="24"/>
          <w:lang w:val="en-US" w:eastAsia="zh-CN"/>
        </w:rPr>
      </w:pPr>
      <w:r>
        <w:rPr>
          <w:rFonts w:hint="eastAsia"/>
          <w:color w:val="auto"/>
          <w:sz w:val="24"/>
          <w:szCs w:val="24"/>
          <w:lang w:val="en-US" w:eastAsia="zh-CN"/>
        </w:rPr>
        <w:t>考核指标：完成适合区域特点的3种以上稳定性肥料施用效果示范，形成2种以上蔬菜品种的科学冲施肥配方，凝练出1种以上绿色施肥模式，棚室肥料综合利用效率以2018年为基数提高10%以上，形成区域科学施肥技术指导手册，分发1000册以上。</w:t>
      </w:r>
    </w:p>
    <w:p>
      <w:pPr>
        <w:numPr>
          <w:ilvl w:val="0"/>
          <w:numId w:val="0"/>
        </w:numPr>
        <w:spacing w:line="360" w:lineRule="auto"/>
        <w:ind w:firstLine="420" w:firstLineChars="0"/>
        <w:rPr>
          <w:rFonts w:hint="eastAsia"/>
          <w:b/>
          <w:bCs/>
          <w:color w:val="auto"/>
          <w:sz w:val="24"/>
          <w:szCs w:val="24"/>
          <w:lang w:val="en-US" w:eastAsia="zh-CN"/>
        </w:rPr>
      </w:pPr>
      <w:r>
        <w:rPr>
          <w:rFonts w:hint="eastAsia"/>
          <w:b/>
          <w:bCs/>
          <w:color w:val="auto"/>
          <w:sz w:val="24"/>
          <w:szCs w:val="24"/>
          <w:lang w:val="en-US" w:eastAsia="zh-CN"/>
        </w:rPr>
        <w:t xml:space="preserve">（2）生物发酵废液棚室盐碱土改良示范 </w:t>
      </w:r>
      <w:bookmarkStart w:id="14" w:name="OLE_LINK17"/>
      <w:r>
        <w:rPr>
          <w:rFonts w:hint="eastAsia"/>
          <w:b/>
          <w:bCs/>
          <w:color w:val="auto"/>
          <w:sz w:val="24"/>
          <w:szCs w:val="24"/>
          <w:lang w:val="en-US" w:eastAsia="zh-CN"/>
        </w:rPr>
        <w:t>（编号：</w:t>
      </w:r>
      <w:bookmarkStart w:id="15" w:name="OLE_LINK16"/>
      <w:r>
        <w:rPr>
          <w:rFonts w:hint="eastAsia"/>
          <w:b/>
          <w:bCs/>
          <w:color w:val="auto"/>
          <w:sz w:val="24"/>
          <w:szCs w:val="24"/>
          <w:lang w:val="en-US" w:eastAsia="zh-CN"/>
        </w:rPr>
        <w:t>2018SG-S-02</w:t>
      </w:r>
      <w:bookmarkEnd w:id="15"/>
      <w:r>
        <w:rPr>
          <w:rFonts w:hint="eastAsia"/>
          <w:b/>
          <w:bCs/>
          <w:color w:val="auto"/>
          <w:sz w:val="24"/>
          <w:szCs w:val="24"/>
          <w:lang w:val="en-US" w:eastAsia="zh-CN"/>
        </w:rPr>
        <w:t>）</w:t>
      </w:r>
      <w:bookmarkEnd w:id="14"/>
    </w:p>
    <w:p>
      <w:pPr>
        <w:numPr>
          <w:ilvl w:val="0"/>
          <w:numId w:val="0"/>
        </w:numPr>
        <w:spacing w:line="360" w:lineRule="auto"/>
        <w:ind w:firstLine="420" w:firstLineChars="0"/>
        <w:rPr>
          <w:rFonts w:hint="eastAsia"/>
          <w:color w:val="auto"/>
          <w:sz w:val="24"/>
          <w:szCs w:val="24"/>
          <w:lang w:val="en-US" w:eastAsia="zh-CN"/>
        </w:rPr>
      </w:pPr>
      <w:r>
        <w:rPr>
          <w:rFonts w:hint="eastAsia"/>
          <w:color w:val="auto"/>
          <w:sz w:val="24"/>
          <w:szCs w:val="24"/>
          <w:lang w:val="en-US" w:eastAsia="zh-CN"/>
        </w:rPr>
        <w:t>以VC发酵废液为主要原料，充分利用生物发酵液有机酸含量高，具有生物活性并含有适当营养成分的技术特点，开展VC发酵液在改良棚室次生盐碱土壤方面的技术示范。从酸碱平衡、微生物调节和养分适当补充的角度改良盐碱土壤结构，恢复退化土壤结构促进作物生长。支持项目1项。</w:t>
      </w:r>
    </w:p>
    <w:p>
      <w:pPr>
        <w:numPr>
          <w:ilvl w:val="0"/>
          <w:numId w:val="0"/>
        </w:numPr>
        <w:spacing w:line="360" w:lineRule="auto"/>
        <w:ind w:firstLine="420" w:firstLineChars="0"/>
        <w:rPr>
          <w:rFonts w:hint="eastAsia"/>
          <w:color w:val="auto"/>
          <w:sz w:val="24"/>
          <w:szCs w:val="24"/>
          <w:lang w:val="en-US" w:eastAsia="zh-CN"/>
        </w:rPr>
      </w:pPr>
      <w:r>
        <w:rPr>
          <w:rFonts w:hint="eastAsia"/>
          <w:color w:val="auto"/>
          <w:sz w:val="24"/>
          <w:szCs w:val="24"/>
          <w:lang w:val="en-US" w:eastAsia="zh-CN"/>
        </w:rPr>
        <w:t>考核指标：完成3座以上典型大棚的实施示范；针对寿光地区设施土壤次生盐碱化的类型，从用量、用法及频次上，分类提出VC发酵液的使用指导意见，形成技术指导手册，分发1000份以上。</w:t>
      </w:r>
    </w:p>
    <w:p>
      <w:pPr>
        <w:numPr>
          <w:ilvl w:val="0"/>
          <w:numId w:val="0"/>
        </w:numPr>
        <w:spacing w:line="360" w:lineRule="auto"/>
        <w:ind w:firstLine="420" w:firstLineChars="0"/>
        <w:rPr>
          <w:rFonts w:hint="eastAsia"/>
          <w:b/>
          <w:bCs/>
          <w:color w:val="auto"/>
          <w:sz w:val="24"/>
          <w:szCs w:val="24"/>
          <w:lang w:val="en-US" w:eastAsia="zh-CN"/>
        </w:rPr>
      </w:pPr>
      <w:r>
        <w:rPr>
          <w:rFonts w:hint="eastAsia"/>
          <w:b/>
          <w:bCs/>
          <w:color w:val="auto"/>
          <w:sz w:val="24"/>
          <w:szCs w:val="24"/>
          <w:lang w:val="en-US" w:eastAsia="zh-CN"/>
        </w:rPr>
        <w:t xml:space="preserve">（3）普适性设施农业物联网技术产品应用示范 </w:t>
      </w:r>
      <w:r>
        <w:rPr>
          <w:rFonts w:hint="eastAsia"/>
          <w:b/>
          <w:bCs/>
          <w:color w:val="auto"/>
          <w:sz w:val="24"/>
          <w:szCs w:val="24"/>
          <w:lang w:val="en-US" w:eastAsia="zh-CN"/>
        </w:rPr>
        <w:t>（编号：2018SG-S-03）</w:t>
      </w:r>
    </w:p>
    <w:p>
      <w:pPr>
        <w:numPr>
          <w:ilvl w:val="0"/>
          <w:numId w:val="0"/>
        </w:numPr>
        <w:spacing w:line="360" w:lineRule="auto"/>
        <w:ind w:firstLine="420" w:firstLineChars="0"/>
        <w:rPr>
          <w:rFonts w:hint="eastAsia"/>
          <w:color w:val="auto"/>
          <w:sz w:val="24"/>
          <w:szCs w:val="24"/>
          <w:lang w:val="en-US" w:eastAsia="zh-CN"/>
        </w:rPr>
      </w:pPr>
      <w:r>
        <w:rPr>
          <w:rFonts w:hint="eastAsia"/>
          <w:color w:val="auto"/>
          <w:sz w:val="24"/>
          <w:szCs w:val="24"/>
          <w:lang w:val="en-US" w:eastAsia="zh-CN"/>
        </w:rPr>
        <w:t>以解决现阶段广泛性设施农业生产过程中环境要素监测与控制问题为切入点，就普适性好、经济可行的农业物联网技术产品开展集成示范，形成可解决大众化设施农业环境要素监控的技术模式。支持项1-2项。</w:t>
      </w:r>
    </w:p>
    <w:p>
      <w:pPr>
        <w:numPr>
          <w:ilvl w:val="0"/>
          <w:numId w:val="0"/>
        </w:numPr>
        <w:spacing w:line="360" w:lineRule="auto"/>
        <w:ind w:firstLine="420" w:firstLineChars="0"/>
        <w:rPr>
          <w:rFonts w:hint="eastAsia"/>
          <w:color w:val="auto"/>
          <w:sz w:val="24"/>
          <w:szCs w:val="24"/>
          <w:lang w:val="en-US" w:eastAsia="zh-CN"/>
        </w:rPr>
      </w:pPr>
      <w:r>
        <w:rPr>
          <w:rFonts w:hint="eastAsia"/>
          <w:color w:val="auto"/>
          <w:sz w:val="24"/>
          <w:szCs w:val="24"/>
          <w:lang w:val="en-US" w:eastAsia="zh-CN"/>
        </w:rPr>
        <w:t>考核指标：设施大棚亩物联网监测控制成本1万元以内，设备四季稳定运行，一般维护使用寿命7年以上；数据接口良好可与智能终端互联。</w:t>
      </w:r>
    </w:p>
    <w:p>
      <w:pPr>
        <w:rPr>
          <w:color w:val="auto"/>
        </w:rPr>
      </w:pPr>
      <w:r>
        <w:rPr>
          <w:color w:val="auto"/>
        </w:rPr>
        <w:br w:type="page"/>
      </w:r>
    </w:p>
    <w:p>
      <w:pPr>
        <w:rPr>
          <w:rFonts w:hint="eastAsia" w:ascii="微软雅黑" w:hAnsi="微软雅黑" w:eastAsia="微软雅黑" w:cs="微软雅黑"/>
          <w:color w:val="auto"/>
          <w:sz w:val="36"/>
          <w:szCs w:val="36"/>
          <w:lang w:val="en-US" w:eastAsia="zh-CN"/>
        </w:rPr>
      </w:pPr>
      <w:r>
        <w:rPr>
          <w:rFonts w:hint="eastAsia" w:ascii="微软雅黑" w:hAnsi="微软雅黑" w:eastAsia="微软雅黑" w:cs="微软雅黑"/>
          <w:color w:val="auto"/>
          <w:sz w:val="36"/>
          <w:szCs w:val="36"/>
          <w:lang w:val="en-US" w:eastAsia="zh-CN"/>
        </w:rPr>
        <w:t>申报书模板：</w:t>
      </w:r>
    </w:p>
    <w:p>
      <w:pPr>
        <w:rPr>
          <w:rFonts w:hint="eastAsia" w:ascii="微软雅黑" w:hAnsi="微软雅黑" w:eastAsia="微软雅黑" w:cs="微软雅黑"/>
          <w:color w:val="auto"/>
          <w:sz w:val="36"/>
          <w:szCs w:val="36"/>
          <w:lang w:val="en-US" w:eastAsia="zh-CN"/>
        </w:rPr>
      </w:pPr>
    </w:p>
    <w:p>
      <w:pPr>
        <w:rPr>
          <w:rFonts w:hint="eastAsia" w:ascii="微软雅黑" w:hAnsi="微软雅黑" w:eastAsia="微软雅黑" w:cs="微软雅黑"/>
          <w:color w:val="auto"/>
          <w:sz w:val="36"/>
          <w:szCs w:val="36"/>
          <w:lang w:val="en-US" w:eastAsia="zh-CN"/>
        </w:rPr>
      </w:pPr>
    </w:p>
    <w:p>
      <w:pPr>
        <w:rPr>
          <w:rFonts w:hint="eastAsia" w:ascii="微软雅黑" w:hAnsi="微软雅黑" w:eastAsia="微软雅黑" w:cs="微软雅黑"/>
          <w:color w:val="auto"/>
          <w:sz w:val="36"/>
          <w:szCs w:val="36"/>
          <w:lang w:val="en-US" w:eastAsia="zh-CN"/>
        </w:rPr>
      </w:pPr>
    </w:p>
    <w:p>
      <w:pPr>
        <w:jc w:val="cente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2018年寿光设施农业中心开放性科研项目申报书</w:t>
      </w:r>
    </w:p>
    <w:p>
      <w:pPr>
        <w:numPr>
          <w:ilvl w:val="0"/>
          <w:numId w:val="0"/>
        </w:numPr>
        <w:spacing w:line="360" w:lineRule="auto"/>
        <w:ind w:firstLine="2570" w:firstLineChars="800"/>
        <w:rPr>
          <w:rFonts w:hint="eastAsia" w:ascii="仿宋" w:hAnsi="仿宋" w:eastAsia="仿宋" w:cs="仿宋"/>
          <w:b/>
          <w:bCs/>
          <w:color w:val="auto"/>
          <w:sz w:val="32"/>
          <w:szCs w:val="32"/>
          <w:lang w:val="en-US" w:eastAsia="zh-CN"/>
        </w:rPr>
      </w:pPr>
    </w:p>
    <w:p>
      <w:pPr>
        <w:numPr>
          <w:ilvl w:val="0"/>
          <w:numId w:val="0"/>
        </w:numPr>
        <w:spacing w:line="360" w:lineRule="auto"/>
        <w:ind w:firstLine="1285" w:firstLineChars="400"/>
        <w:rPr>
          <w:rFonts w:hint="eastAsia" w:ascii="仿宋" w:hAnsi="仿宋" w:eastAsia="仿宋" w:cs="仿宋"/>
          <w:b/>
          <w:bCs/>
          <w:color w:val="auto"/>
          <w:sz w:val="32"/>
          <w:szCs w:val="32"/>
          <w:lang w:val="en-US" w:eastAsia="zh-CN"/>
        </w:rPr>
      </w:pPr>
    </w:p>
    <w:p>
      <w:pPr>
        <w:numPr>
          <w:ilvl w:val="0"/>
          <w:numId w:val="0"/>
        </w:numPr>
        <w:spacing w:line="360" w:lineRule="auto"/>
        <w:ind w:firstLine="1285" w:firstLineChars="400"/>
        <w:rPr>
          <w:rFonts w:hint="eastAsia" w:ascii="仿宋" w:hAnsi="仿宋" w:eastAsia="仿宋" w:cs="仿宋"/>
          <w:b/>
          <w:bCs/>
          <w:color w:val="auto"/>
          <w:sz w:val="32"/>
          <w:szCs w:val="32"/>
          <w:lang w:val="en-US" w:eastAsia="zh-CN"/>
        </w:rPr>
      </w:pPr>
    </w:p>
    <w:p>
      <w:pPr>
        <w:numPr>
          <w:ilvl w:val="0"/>
          <w:numId w:val="0"/>
        </w:numPr>
        <w:spacing w:line="360" w:lineRule="auto"/>
        <w:ind w:firstLine="1285" w:firstLineChars="400"/>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1285" w:firstLineChars="40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项目名称：</w:t>
      </w:r>
    </w:p>
    <w:p>
      <w:pPr>
        <w:keepNext w:val="0"/>
        <w:keepLines w:val="0"/>
        <w:pageBreakBefore w:val="0"/>
        <w:widowControl w:val="0"/>
        <w:kinsoku/>
        <w:wordWrap/>
        <w:overflowPunct/>
        <w:topLinePunct w:val="0"/>
        <w:autoSpaceDE/>
        <w:autoSpaceDN/>
        <w:bidi w:val="0"/>
        <w:adjustRightInd/>
        <w:snapToGrid/>
        <w:spacing w:line="312" w:lineRule="auto"/>
        <w:ind w:left="840" w:leftChars="0" w:right="0" w:rightChars="0" w:firstLine="420" w:firstLineChars="0"/>
        <w:jc w:val="both"/>
        <w:textAlignment w:val="auto"/>
        <w:outlineLvl w:val="9"/>
        <w:rPr>
          <w:rFonts w:hint="eastAsia" w:ascii="仿宋" w:hAnsi="仿宋" w:eastAsia="仿宋" w:cs="仿宋"/>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ind w:left="840" w:leftChars="0" w:right="0" w:rightChars="0" w:firstLine="420" w:firstLineChars="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b/>
          <w:bCs/>
          <w:color w:val="auto"/>
          <w:sz w:val="32"/>
          <w:szCs w:val="32"/>
          <w:lang w:val="en-US" w:eastAsia="zh-CN"/>
        </w:rPr>
        <w:t>指南方向：（填指南编号）</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1285" w:firstLineChars="400"/>
        <w:jc w:val="both"/>
        <w:textAlignment w:val="auto"/>
        <w:outlineLvl w:val="9"/>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1285" w:firstLineChars="40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申请单位：                  （公章）</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1285" w:firstLineChars="40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24"/>
          <w:szCs w:val="24"/>
          <w:lang w:val="en-US" w:eastAsia="zh-CN"/>
        </w:rPr>
        <w:t>高校单位到所在院系即可</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1285" w:firstLineChars="400"/>
        <w:jc w:val="both"/>
        <w:textAlignment w:val="auto"/>
        <w:outlineLvl w:val="9"/>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1285" w:firstLineChars="40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项目负责人：</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firstLine="1285" w:firstLineChars="400"/>
        <w:jc w:val="both"/>
        <w:textAlignment w:val="auto"/>
        <w:outlineLvl w:val="9"/>
        <w:rPr>
          <w:rFonts w:hint="eastAsia" w:ascii="仿宋" w:hAnsi="仿宋" w:eastAsia="仿宋" w:cs="仿宋"/>
          <w:b/>
          <w:bCs/>
          <w:color w:val="auto"/>
          <w:sz w:val="32"/>
          <w:szCs w:val="32"/>
          <w:lang w:val="en-US" w:eastAsia="zh-CN"/>
        </w:rPr>
      </w:pPr>
    </w:p>
    <w:p>
      <w:pPr>
        <w:numPr>
          <w:ilvl w:val="0"/>
          <w:numId w:val="0"/>
        </w:numPr>
        <w:spacing w:line="360" w:lineRule="auto"/>
        <w:ind w:firstLine="1285" w:firstLineChars="400"/>
        <w:rPr>
          <w:rFonts w:hint="eastAsia" w:ascii="仿宋" w:hAnsi="仿宋" w:eastAsia="仿宋" w:cs="仿宋"/>
          <w:b/>
          <w:bCs/>
          <w:color w:val="auto"/>
          <w:sz w:val="32"/>
          <w:szCs w:val="32"/>
          <w:lang w:val="en-US" w:eastAsia="zh-CN"/>
        </w:rPr>
      </w:pPr>
    </w:p>
    <w:p>
      <w:pPr>
        <w:numPr>
          <w:ilvl w:val="0"/>
          <w:numId w:val="0"/>
        </w:numPr>
        <w:spacing w:line="360" w:lineRule="auto"/>
        <w:ind w:firstLine="2891" w:firstLineChars="9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2018年   月    日</w:t>
      </w:r>
    </w:p>
    <w:p>
      <w:pPr>
        <w:numPr>
          <w:ilvl w:val="0"/>
          <w:numId w:val="0"/>
        </w:numPr>
        <w:spacing w:line="360" w:lineRule="auto"/>
        <w:rPr>
          <w:rFonts w:hint="eastAsia"/>
          <w:color w:val="auto"/>
          <w:sz w:val="24"/>
          <w:szCs w:val="24"/>
          <w:lang w:val="en-US" w:eastAsia="zh-CN"/>
        </w:rPr>
      </w:pPr>
      <w:r>
        <w:rPr>
          <w:rFonts w:hint="eastAsia"/>
          <w:color w:val="auto"/>
          <w:sz w:val="24"/>
          <w:szCs w:val="24"/>
          <w:lang w:val="en-US" w:eastAsia="zh-CN"/>
        </w:rPr>
        <w:br w:type="page"/>
      </w:r>
    </w:p>
    <w:tbl>
      <w:tblPr>
        <w:tblStyle w:val="3"/>
        <w:tblpPr w:leftFromText="180" w:rightFromText="180" w:vertAnchor="page" w:horzAnchor="page" w:tblpX="1332" w:tblpY="1968"/>
        <w:tblW w:w="9480" w:type="dxa"/>
        <w:tblInd w:w="0" w:type="dxa"/>
        <w:tblLayout w:type="fixed"/>
        <w:tblCellMar>
          <w:top w:w="0" w:type="dxa"/>
          <w:left w:w="108" w:type="dxa"/>
          <w:bottom w:w="0" w:type="dxa"/>
          <w:right w:w="108" w:type="dxa"/>
        </w:tblCellMar>
      </w:tblPr>
      <w:tblGrid>
        <w:gridCol w:w="960"/>
        <w:gridCol w:w="867"/>
        <w:gridCol w:w="298"/>
        <w:gridCol w:w="2326"/>
        <w:gridCol w:w="524"/>
        <w:gridCol w:w="1037"/>
        <w:gridCol w:w="328"/>
        <w:gridCol w:w="1"/>
        <w:gridCol w:w="639"/>
        <w:gridCol w:w="2500"/>
      </w:tblGrid>
      <w:tr>
        <w:tblPrEx>
          <w:tblLayout w:type="fixed"/>
          <w:tblCellMar>
            <w:top w:w="0" w:type="dxa"/>
            <w:left w:w="108" w:type="dxa"/>
            <w:bottom w:w="0" w:type="dxa"/>
            <w:right w:w="108" w:type="dxa"/>
          </w:tblCellMar>
        </w:tblPrEx>
        <w:trPr>
          <w:trHeight w:val="694" w:hRule="exact"/>
        </w:trPr>
        <w:tc>
          <w:tcPr>
            <w:tcW w:w="1827"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8" w:lineRule="exact"/>
              <w:ind w:left="397"/>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7653"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8" w:lineRule="exact"/>
              <w:ind w:left="124"/>
              <w:jc w:val="center"/>
              <w:rPr>
                <w:rFonts w:hint="eastAsia" w:ascii="仿宋" w:hAnsi="仿宋" w:eastAsia="仿宋" w:cs="仿宋"/>
                <w:color w:val="auto"/>
                <w:sz w:val="24"/>
                <w:szCs w:val="24"/>
              </w:rPr>
            </w:pPr>
          </w:p>
        </w:tc>
      </w:tr>
      <w:tr>
        <w:tblPrEx>
          <w:tblLayout w:type="fixed"/>
          <w:tblCellMar>
            <w:top w:w="0" w:type="dxa"/>
            <w:left w:w="108" w:type="dxa"/>
            <w:bottom w:w="0" w:type="dxa"/>
            <w:right w:w="108" w:type="dxa"/>
          </w:tblCellMar>
        </w:tblPrEx>
        <w:trPr>
          <w:trHeight w:val="695" w:hRule="exact"/>
        </w:trPr>
        <w:tc>
          <w:tcPr>
            <w:tcW w:w="1827"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9" w:lineRule="exact"/>
              <w:ind w:left="397"/>
              <w:jc w:val="center"/>
              <w:rPr>
                <w:rFonts w:hint="eastAsia" w:ascii="仿宋" w:hAnsi="仿宋" w:eastAsia="仿宋" w:cs="仿宋"/>
                <w:color w:val="auto"/>
                <w:sz w:val="24"/>
                <w:szCs w:val="24"/>
              </w:rPr>
            </w:pPr>
            <w:r>
              <w:rPr>
                <w:rFonts w:hint="eastAsia" w:ascii="仿宋" w:hAnsi="仿宋" w:eastAsia="仿宋" w:cs="仿宋"/>
                <w:color w:val="auto"/>
                <w:sz w:val="24"/>
                <w:szCs w:val="24"/>
              </w:rPr>
              <w:t>指南方向</w:t>
            </w:r>
          </w:p>
        </w:tc>
        <w:tc>
          <w:tcPr>
            <w:tcW w:w="7653"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9" w:lineRule="exact"/>
              <w:ind w:left="124"/>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填指南名及编号</w:t>
            </w:r>
          </w:p>
        </w:tc>
      </w:tr>
      <w:tr>
        <w:tblPrEx>
          <w:tblLayout w:type="fixed"/>
          <w:tblCellMar>
            <w:top w:w="0" w:type="dxa"/>
            <w:left w:w="108" w:type="dxa"/>
            <w:bottom w:w="0" w:type="dxa"/>
            <w:right w:w="108" w:type="dxa"/>
          </w:tblCellMar>
        </w:tblPrEx>
        <w:trPr>
          <w:trHeight w:val="695" w:hRule="exact"/>
        </w:trPr>
        <w:tc>
          <w:tcPr>
            <w:tcW w:w="1827"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9" w:lineRule="exact"/>
              <w:ind w:left="397"/>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申报金额</w:t>
            </w:r>
          </w:p>
        </w:tc>
        <w:tc>
          <w:tcPr>
            <w:tcW w:w="7653"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9" w:lineRule="exact"/>
              <w:ind w:left="124"/>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XX万元</w:t>
            </w:r>
          </w:p>
        </w:tc>
      </w:tr>
      <w:tr>
        <w:tblPrEx>
          <w:tblLayout w:type="fixed"/>
          <w:tblCellMar>
            <w:top w:w="0" w:type="dxa"/>
            <w:left w:w="108" w:type="dxa"/>
            <w:bottom w:w="0" w:type="dxa"/>
            <w:right w:w="108" w:type="dxa"/>
          </w:tblCellMar>
        </w:tblPrEx>
        <w:trPr>
          <w:trHeight w:val="695" w:hRule="exact"/>
        </w:trPr>
        <w:tc>
          <w:tcPr>
            <w:tcW w:w="96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1695" w:lineRule="exact"/>
              <w:ind w:left="0" w:leftChars="0" w:hanging="5"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项</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目</w:t>
            </w:r>
          </w:p>
          <w:p>
            <w:pPr>
              <w:spacing w:after="0" w:line="312" w:lineRule="exact"/>
              <w:ind w:left="7" w:leftChars="0" w:hanging="7"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负责人</w:t>
            </w:r>
          </w:p>
        </w:tc>
        <w:tc>
          <w:tcPr>
            <w:tcW w:w="116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8" w:lineRule="exact"/>
              <w:ind w:left="254"/>
              <w:jc w:val="center"/>
              <w:rPr>
                <w:rFonts w:hint="eastAsia" w:ascii="仿宋" w:hAnsi="仿宋" w:eastAsia="仿宋" w:cs="仿宋"/>
                <w:color w:val="auto"/>
                <w:sz w:val="24"/>
                <w:szCs w:val="24"/>
              </w:rPr>
            </w:pPr>
            <w:r>
              <w:rPr>
                <w:rFonts w:hint="eastAsia" w:ascii="仿宋" w:hAnsi="仿宋" w:eastAsia="仿宋" w:cs="仿宋"/>
                <w:color w:val="auto"/>
                <w:sz w:val="24"/>
                <w:szCs w:val="24"/>
              </w:rPr>
              <w:t>姓</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名</w:t>
            </w:r>
          </w:p>
        </w:tc>
        <w:tc>
          <w:tcPr>
            <w:tcW w:w="285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8" w:lineRule="exact"/>
              <w:ind w:left="1016"/>
              <w:jc w:val="center"/>
              <w:rPr>
                <w:rFonts w:hint="eastAsia" w:ascii="仿宋" w:hAnsi="仿宋" w:eastAsia="仿宋" w:cs="仿宋"/>
                <w:color w:val="auto"/>
                <w:sz w:val="24"/>
                <w:szCs w:val="24"/>
                <w:lang w:eastAsia="zh-CN"/>
              </w:rPr>
            </w:pPr>
          </w:p>
        </w:tc>
        <w:tc>
          <w:tcPr>
            <w:tcW w:w="1366"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8" w:lineRule="exact"/>
              <w:ind w:left="352" w:leftChars="0" w:hanging="352" w:hangingChars="147"/>
              <w:jc w:val="center"/>
              <w:rPr>
                <w:rFonts w:hint="eastAsia" w:ascii="仿宋" w:hAnsi="仿宋" w:eastAsia="仿宋" w:cs="仿宋"/>
                <w:color w:val="auto"/>
                <w:sz w:val="24"/>
                <w:szCs w:val="24"/>
              </w:rPr>
            </w:pPr>
            <w:r>
              <w:rPr>
                <w:rFonts w:hint="eastAsia" w:ascii="仿宋" w:hAnsi="仿宋" w:eastAsia="仿宋" w:cs="仿宋"/>
                <w:color w:val="auto"/>
                <w:sz w:val="24"/>
                <w:szCs w:val="24"/>
              </w:rPr>
              <w:t>性</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别</w:t>
            </w:r>
          </w:p>
        </w:tc>
        <w:tc>
          <w:tcPr>
            <w:tcW w:w="313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8" w:lineRule="exact"/>
              <w:ind w:left="977"/>
              <w:jc w:val="center"/>
              <w:rPr>
                <w:rFonts w:hint="eastAsia" w:ascii="仿宋" w:hAnsi="仿宋" w:eastAsia="仿宋" w:cs="仿宋"/>
                <w:color w:val="auto"/>
                <w:sz w:val="24"/>
                <w:szCs w:val="24"/>
              </w:rPr>
            </w:pPr>
            <w:r>
              <w:rPr>
                <w:rFonts w:hint="eastAsia" w:ascii="仿宋" w:hAnsi="仿宋" w:eastAsia="仿宋" w:cs="仿宋"/>
                <w:color w:val="auto"/>
                <w:sz w:val="24"/>
                <w:szCs w:val="24"/>
              </w:rPr>
              <w:t>■男</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pacing w:val="-1"/>
                <w:sz w:val="24"/>
                <w:szCs w:val="24"/>
              </w:rPr>
              <w:t>□女</w:t>
            </w:r>
          </w:p>
        </w:tc>
      </w:tr>
      <w:tr>
        <w:tblPrEx>
          <w:tblLayout w:type="fixed"/>
          <w:tblCellMar>
            <w:top w:w="0" w:type="dxa"/>
            <w:left w:w="108" w:type="dxa"/>
            <w:bottom w:w="0" w:type="dxa"/>
            <w:right w:w="108" w:type="dxa"/>
          </w:tblCellMar>
        </w:tblPrEx>
        <w:trPr>
          <w:trHeight w:val="695" w:hRule="exac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18" w:lineRule="exact"/>
              <w:jc w:val="center"/>
              <w:rPr>
                <w:rFonts w:hint="eastAsia" w:ascii="仿宋" w:hAnsi="仿宋" w:eastAsia="仿宋" w:cs="仿宋"/>
                <w:color w:val="auto"/>
                <w:sz w:val="24"/>
                <w:szCs w:val="24"/>
              </w:rPr>
            </w:pPr>
          </w:p>
        </w:tc>
        <w:tc>
          <w:tcPr>
            <w:tcW w:w="116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8" w:lineRule="exact"/>
              <w:ind w:left="74"/>
              <w:jc w:val="center"/>
              <w:rPr>
                <w:rFonts w:hint="eastAsia" w:ascii="仿宋" w:hAnsi="仿宋" w:eastAsia="仿宋" w:cs="仿宋"/>
                <w:color w:val="auto"/>
                <w:sz w:val="24"/>
                <w:szCs w:val="24"/>
              </w:rPr>
            </w:pPr>
            <w:r>
              <w:rPr>
                <w:rFonts w:hint="eastAsia" w:ascii="仿宋" w:hAnsi="仿宋" w:eastAsia="仿宋" w:cs="仿宋"/>
                <w:color w:val="auto"/>
                <w:sz w:val="24"/>
                <w:szCs w:val="24"/>
              </w:rPr>
              <w:t>出生日期</w:t>
            </w:r>
          </w:p>
        </w:tc>
        <w:tc>
          <w:tcPr>
            <w:tcW w:w="285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8" w:lineRule="exact"/>
              <w:ind w:left="776"/>
              <w:jc w:val="center"/>
              <w:rPr>
                <w:rFonts w:hint="eastAsia" w:ascii="仿宋" w:hAnsi="仿宋" w:eastAsia="仿宋" w:cs="仿宋"/>
                <w:color w:val="auto"/>
                <w:sz w:val="24"/>
                <w:szCs w:val="24"/>
                <w:lang w:eastAsia="zh-CN"/>
              </w:rPr>
            </w:pPr>
          </w:p>
        </w:tc>
        <w:tc>
          <w:tcPr>
            <w:tcW w:w="1366"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8" w:lineRule="exact"/>
              <w:ind w:left="173"/>
              <w:jc w:val="center"/>
              <w:rPr>
                <w:rFonts w:hint="eastAsia" w:ascii="仿宋" w:hAnsi="仿宋" w:eastAsia="仿宋" w:cs="仿宋"/>
                <w:color w:val="auto"/>
                <w:sz w:val="24"/>
                <w:szCs w:val="24"/>
              </w:rPr>
            </w:pPr>
            <w:r>
              <w:rPr>
                <w:rFonts w:hint="eastAsia" w:ascii="仿宋" w:hAnsi="仿宋" w:eastAsia="仿宋" w:cs="仿宋"/>
                <w:color w:val="auto"/>
                <w:sz w:val="24"/>
                <w:szCs w:val="24"/>
              </w:rPr>
              <w:t>证件号码</w:t>
            </w:r>
          </w:p>
        </w:tc>
        <w:tc>
          <w:tcPr>
            <w:tcW w:w="313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500" w:lineRule="exact"/>
              <w:jc w:val="center"/>
              <w:rPr>
                <w:rFonts w:hint="eastAsia" w:ascii="仿宋" w:hAnsi="仿宋" w:eastAsia="仿宋" w:cs="仿宋"/>
                <w:color w:val="auto"/>
                <w:sz w:val="24"/>
                <w:szCs w:val="24"/>
                <w:lang w:eastAsia="zh-CN"/>
              </w:rPr>
            </w:pPr>
          </w:p>
        </w:tc>
      </w:tr>
      <w:tr>
        <w:tblPrEx>
          <w:tblLayout w:type="fixed"/>
          <w:tblCellMar>
            <w:top w:w="0" w:type="dxa"/>
            <w:left w:w="108" w:type="dxa"/>
            <w:bottom w:w="0" w:type="dxa"/>
            <w:right w:w="108" w:type="dxa"/>
          </w:tblCellMar>
        </w:tblPrEx>
        <w:trPr>
          <w:trHeight w:val="694" w:hRule="exac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18" w:lineRule="exact"/>
              <w:jc w:val="center"/>
              <w:rPr>
                <w:rFonts w:hint="eastAsia" w:ascii="仿宋" w:hAnsi="仿宋" w:eastAsia="仿宋" w:cs="仿宋"/>
                <w:color w:val="auto"/>
                <w:sz w:val="24"/>
                <w:szCs w:val="24"/>
              </w:rPr>
            </w:pPr>
          </w:p>
        </w:tc>
        <w:tc>
          <w:tcPr>
            <w:tcW w:w="116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8" w:lineRule="exact"/>
              <w:ind w:left="74"/>
              <w:jc w:val="center"/>
              <w:rPr>
                <w:rFonts w:hint="eastAsia" w:ascii="仿宋" w:hAnsi="仿宋" w:eastAsia="仿宋" w:cs="仿宋"/>
                <w:color w:val="auto"/>
                <w:sz w:val="24"/>
                <w:szCs w:val="24"/>
              </w:rPr>
            </w:pPr>
            <w:r>
              <w:rPr>
                <w:rFonts w:hint="eastAsia" w:ascii="仿宋" w:hAnsi="仿宋" w:eastAsia="仿宋" w:cs="仿宋"/>
                <w:color w:val="auto"/>
                <w:sz w:val="24"/>
                <w:szCs w:val="24"/>
              </w:rPr>
              <w:t>所在单位</w:t>
            </w:r>
          </w:p>
        </w:tc>
        <w:tc>
          <w:tcPr>
            <w:tcW w:w="7355" w:type="dxa"/>
            <w:gridSpan w:val="7"/>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8" w:lineRule="exact"/>
              <w:ind w:left="2852"/>
              <w:jc w:val="center"/>
              <w:rPr>
                <w:rFonts w:hint="eastAsia" w:ascii="仿宋" w:hAnsi="仿宋" w:eastAsia="仿宋" w:cs="仿宋"/>
                <w:color w:val="auto"/>
                <w:sz w:val="24"/>
                <w:szCs w:val="24"/>
                <w:lang w:eastAsia="zh-CN"/>
              </w:rPr>
            </w:pPr>
          </w:p>
        </w:tc>
      </w:tr>
      <w:tr>
        <w:tblPrEx>
          <w:tblLayout w:type="fixed"/>
          <w:tblCellMar>
            <w:top w:w="0" w:type="dxa"/>
            <w:left w:w="108" w:type="dxa"/>
            <w:bottom w:w="0" w:type="dxa"/>
            <w:right w:w="108" w:type="dxa"/>
          </w:tblCellMar>
        </w:tblPrEx>
        <w:trPr>
          <w:trHeight w:val="695" w:hRule="exac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18" w:lineRule="exact"/>
              <w:jc w:val="center"/>
              <w:rPr>
                <w:rFonts w:hint="eastAsia" w:ascii="仿宋" w:hAnsi="仿宋" w:eastAsia="仿宋" w:cs="仿宋"/>
                <w:color w:val="auto"/>
                <w:sz w:val="24"/>
                <w:szCs w:val="24"/>
              </w:rPr>
            </w:pPr>
          </w:p>
        </w:tc>
        <w:tc>
          <w:tcPr>
            <w:tcW w:w="116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9" w:lineRule="exact"/>
              <w:ind w:left="254"/>
              <w:jc w:val="center"/>
              <w:rPr>
                <w:rFonts w:hint="eastAsia" w:ascii="仿宋" w:hAnsi="仿宋" w:eastAsia="仿宋" w:cs="仿宋"/>
                <w:color w:val="auto"/>
                <w:sz w:val="24"/>
                <w:szCs w:val="24"/>
              </w:rPr>
            </w:pPr>
            <w:r>
              <w:rPr>
                <w:rFonts w:hint="eastAsia" w:ascii="仿宋" w:hAnsi="仿宋" w:eastAsia="仿宋" w:cs="仿宋"/>
                <w:color w:val="auto"/>
                <w:sz w:val="24"/>
                <w:szCs w:val="24"/>
              </w:rPr>
              <w:t>职</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称</w:t>
            </w:r>
          </w:p>
        </w:tc>
        <w:tc>
          <w:tcPr>
            <w:tcW w:w="285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9" w:lineRule="exact"/>
              <w:ind w:left="1016"/>
              <w:jc w:val="center"/>
              <w:rPr>
                <w:rFonts w:hint="eastAsia" w:ascii="仿宋" w:hAnsi="仿宋" w:eastAsia="仿宋" w:cs="仿宋"/>
                <w:color w:val="auto"/>
                <w:sz w:val="24"/>
                <w:szCs w:val="24"/>
              </w:rPr>
            </w:pPr>
          </w:p>
        </w:tc>
        <w:tc>
          <w:tcPr>
            <w:tcW w:w="136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9" w:lineRule="exact"/>
              <w:ind w:left="353"/>
              <w:jc w:val="center"/>
              <w:rPr>
                <w:rFonts w:hint="eastAsia" w:ascii="仿宋" w:hAnsi="仿宋" w:eastAsia="仿宋" w:cs="仿宋"/>
                <w:color w:val="auto"/>
                <w:sz w:val="24"/>
                <w:szCs w:val="24"/>
              </w:rPr>
            </w:pPr>
            <w:r>
              <w:rPr>
                <w:rFonts w:hint="eastAsia" w:ascii="仿宋" w:hAnsi="仿宋" w:eastAsia="仿宋" w:cs="仿宋"/>
                <w:color w:val="auto"/>
                <w:sz w:val="24"/>
                <w:szCs w:val="24"/>
              </w:rPr>
              <w:t>学</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位</w:t>
            </w:r>
          </w:p>
        </w:tc>
        <w:tc>
          <w:tcPr>
            <w:tcW w:w="314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9" w:lineRule="exact"/>
              <w:ind w:left="1277"/>
              <w:jc w:val="center"/>
              <w:rPr>
                <w:rFonts w:hint="eastAsia" w:ascii="仿宋" w:hAnsi="仿宋" w:eastAsia="仿宋" w:cs="仿宋"/>
                <w:color w:val="auto"/>
                <w:sz w:val="24"/>
                <w:szCs w:val="24"/>
                <w:lang w:eastAsia="zh-CN"/>
              </w:rPr>
            </w:pPr>
          </w:p>
        </w:tc>
      </w:tr>
      <w:tr>
        <w:tblPrEx>
          <w:tblLayout w:type="fixed"/>
          <w:tblCellMar>
            <w:top w:w="0" w:type="dxa"/>
            <w:left w:w="108" w:type="dxa"/>
            <w:bottom w:w="0" w:type="dxa"/>
            <w:right w:w="108" w:type="dxa"/>
          </w:tblCellMar>
        </w:tblPrEx>
        <w:trPr>
          <w:trHeight w:val="695" w:hRule="exac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19" w:lineRule="exact"/>
              <w:jc w:val="center"/>
              <w:rPr>
                <w:rFonts w:hint="eastAsia" w:ascii="仿宋" w:hAnsi="仿宋" w:eastAsia="仿宋" w:cs="仿宋"/>
                <w:color w:val="auto"/>
                <w:sz w:val="24"/>
                <w:szCs w:val="24"/>
              </w:rPr>
            </w:pPr>
          </w:p>
        </w:tc>
        <w:tc>
          <w:tcPr>
            <w:tcW w:w="116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9" w:lineRule="exact"/>
              <w:ind w:left="254"/>
              <w:jc w:val="center"/>
              <w:rPr>
                <w:rFonts w:hint="eastAsia" w:ascii="仿宋" w:hAnsi="仿宋" w:eastAsia="仿宋" w:cs="仿宋"/>
                <w:color w:val="auto"/>
                <w:sz w:val="24"/>
                <w:szCs w:val="24"/>
              </w:rPr>
            </w:pPr>
            <w:r>
              <w:rPr>
                <w:rFonts w:hint="eastAsia" w:ascii="仿宋" w:hAnsi="仿宋" w:eastAsia="仿宋" w:cs="仿宋"/>
                <w:color w:val="auto"/>
                <w:sz w:val="24"/>
                <w:szCs w:val="24"/>
              </w:rPr>
              <w:t>职</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务</w:t>
            </w:r>
          </w:p>
        </w:tc>
        <w:tc>
          <w:tcPr>
            <w:tcW w:w="285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9" w:lineRule="exact"/>
              <w:ind w:left="176"/>
              <w:jc w:val="center"/>
              <w:rPr>
                <w:rFonts w:hint="eastAsia" w:ascii="仿宋" w:hAnsi="仿宋" w:eastAsia="仿宋" w:cs="仿宋"/>
                <w:color w:val="auto"/>
                <w:sz w:val="24"/>
                <w:szCs w:val="24"/>
              </w:rPr>
            </w:pPr>
          </w:p>
        </w:tc>
        <w:tc>
          <w:tcPr>
            <w:tcW w:w="136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9" w:lineRule="exact"/>
              <w:ind w:left="173"/>
              <w:jc w:val="center"/>
              <w:rPr>
                <w:rFonts w:hint="eastAsia" w:ascii="仿宋" w:hAnsi="仿宋" w:eastAsia="仿宋" w:cs="仿宋"/>
                <w:color w:val="auto"/>
                <w:sz w:val="24"/>
                <w:szCs w:val="24"/>
              </w:rPr>
            </w:pPr>
            <w:r>
              <w:rPr>
                <w:rFonts w:hint="eastAsia" w:ascii="仿宋" w:hAnsi="仿宋" w:eastAsia="仿宋" w:cs="仿宋"/>
                <w:color w:val="auto"/>
                <w:sz w:val="24"/>
                <w:szCs w:val="24"/>
              </w:rPr>
              <w:t>移动电话</w:t>
            </w:r>
          </w:p>
        </w:tc>
        <w:tc>
          <w:tcPr>
            <w:tcW w:w="314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9" w:lineRule="exact"/>
              <w:ind w:left="857"/>
              <w:jc w:val="center"/>
              <w:rPr>
                <w:rFonts w:hint="eastAsia" w:ascii="仿宋" w:hAnsi="仿宋" w:eastAsia="仿宋" w:cs="仿宋"/>
                <w:color w:val="auto"/>
                <w:sz w:val="24"/>
                <w:szCs w:val="24"/>
                <w:lang w:eastAsia="zh-CN"/>
              </w:rPr>
            </w:pPr>
          </w:p>
        </w:tc>
      </w:tr>
      <w:tr>
        <w:tblPrEx>
          <w:tblLayout w:type="fixed"/>
          <w:tblCellMar>
            <w:top w:w="0" w:type="dxa"/>
            <w:left w:w="108" w:type="dxa"/>
            <w:bottom w:w="0" w:type="dxa"/>
            <w:right w:w="108" w:type="dxa"/>
          </w:tblCellMar>
        </w:tblPrEx>
        <w:trPr>
          <w:trHeight w:val="695" w:hRule="exac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19" w:lineRule="exact"/>
              <w:jc w:val="center"/>
              <w:rPr>
                <w:rFonts w:hint="eastAsia" w:ascii="仿宋" w:hAnsi="仿宋" w:eastAsia="仿宋" w:cs="仿宋"/>
                <w:color w:val="auto"/>
                <w:sz w:val="24"/>
                <w:szCs w:val="24"/>
              </w:rPr>
            </w:pPr>
          </w:p>
        </w:tc>
        <w:tc>
          <w:tcPr>
            <w:tcW w:w="116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9" w:lineRule="exact"/>
              <w:ind w:left="74"/>
              <w:jc w:val="center"/>
              <w:rPr>
                <w:rFonts w:hint="eastAsia" w:ascii="仿宋" w:hAnsi="仿宋" w:eastAsia="仿宋" w:cs="仿宋"/>
                <w:color w:val="auto"/>
                <w:sz w:val="24"/>
                <w:szCs w:val="24"/>
              </w:rPr>
            </w:pPr>
            <w:r>
              <w:rPr>
                <w:rFonts w:hint="eastAsia" w:ascii="仿宋" w:hAnsi="仿宋" w:eastAsia="仿宋" w:cs="仿宋"/>
                <w:color w:val="auto"/>
                <w:sz w:val="24"/>
                <w:szCs w:val="24"/>
              </w:rPr>
              <w:t>电子邮箱</w:t>
            </w:r>
          </w:p>
        </w:tc>
        <w:tc>
          <w:tcPr>
            <w:tcW w:w="7355" w:type="dxa"/>
            <w:gridSpan w:val="7"/>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9" w:lineRule="exact"/>
              <w:ind w:left="2612"/>
              <w:jc w:val="center"/>
              <w:rPr>
                <w:rFonts w:hint="eastAsia" w:ascii="仿宋" w:hAnsi="仿宋" w:eastAsia="仿宋" w:cs="仿宋"/>
                <w:color w:val="auto"/>
                <w:sz w:val="24"/>
                <w:szCs w:val="24"/>
                <w:lang w:eastAsia="zh-CN"/>
              </w:rPr>
            </w:pPr>
          </w:p>
        </w:tc>
      </w:tr>
      <w:tr>
        <w:tblPrEx>
          <w:tblLayout w:type="fixed"/>
          <w:tblCellMar>
            <w:top w:w="0" w:type="dxa"/>
            <w:left w:w="108" w:type="dxa"/>
            <w:bottom w:w="0" w:type="dxa"/>
            <w:right w:w="108" w:type="dxa"/>
          </w:tblCellMar>
        </w:tblPrEx>
        <w:trPr>
          <w:trHeight w:val="769" w:hRule="exact"/>
        </w:trPr>
        <w:tc>
          <w:tcPr>
            <w:tcW w:w="960" w:type="dxa"/>
            <w:vMerge w:val="restart"/>
            <w:tcBorders>
              <w:top w:val="single" w:color="000000" w:sz="6" w:space="0"/>
              <w:left w:val="single" w:color="000000" w:sz="6" w:space="0"/>
              <w:right w:val="single" w:color="000000" w:sz="6" w:space="0"/>
            </w:tcBorders>
            <w:shd w:val="clear" w:color="auto" w:fill="auto"/>
            <w:tcMar>
              <w:left w:w="0" w:type="dxa"/>
              <w:right w:w="0" w:type="dxa"/>
            </w:tcMar>
            <w:vAlign w:val="center"/>
          </w:tcPr>
          <w:p>
            <w:pPr>
              <w:spacing w:after="0" w:line="1409" w:lineRule="exact"/>
              <w:ind w:left="0" w:leftChars="0" w:hanging="5"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课 题</w:t>
            </w:r>
          </w:p>
          <w:p>
            <w:pPr>
              <w:spacing w:after="0" w:line="311" w:lineRule="exact"/>
              <w:ind w:left="0" w:leftChars="0" w:hanging="5"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人 员</w:t>
            </w:r>
          </w:p>
          <w:p>
            <w:pPr>
              <w:spacing w:after="0" w:line="311" w:lineRule="exact"/>
              <w:ind w:left="107"/>
              <w:jc w:val="center"/>
              <w:rPr>
                <w:rFonts w:hint="eastAsia" w:ascii="仿宋" w:hAnsi="仿宋" w:eastAsia="仿宋" w:cs="仿宋"/>
                <w:color w:val="auto"/>
                <w:sz w:val="24"/>
                <w:szCs w:val="24"/>
              </w:rPr>
            </w:pPr>
          </w:p>
        </w:tc>
        <w:tc>
          <w:tcPr>
            <w:tcW w:w="116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8" w:lineRule="exact"/>
              <w:ind w:left="312"/>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285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8" w:lineRule="exact"/>
              <w:ind w:left="1136"/>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240" w:lineRule="auto"/>
              <w:ind w:left="244" w:leftChars="0" w:hanging="244" w:hangingChars="102"/>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人员</w:t>
            </w:r>
          </w:p>
          <w:p>
            <w:pPr>
              <w:spacing w:after="0" w:line="240" w:lineRule="auto"/>
              <w:ind w:left="244" w:leftChars="0" w:hanging="244" w:hangingChars="102"/>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类别</w:t>
            </w:r>
          </w:p>
        </w:tc>
        <w:tc>
          <w:tcPr>
            <w:tcW w:w="968"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240" w:lineRule="auto"/>
              <w:ind w:left="238"/>
              <w:jc w:val="both"/>
              <w:rPr>
                <w:rFonts w:hint="eastAsia" w:ascii="仿宋" w:hAnsi="仿宋" w:eastAsia="仿宋" w:cs="仿宋"/>
                <w:color w:val="auto"/>
                <w:sz w:val="24"/>
                <w:szCs w:val="24"/>
              </w:rPr>
            </w:pPr>
            <w:r>
              <w:rPr>
                <w:rFonts w:hint="eastAsia" w:ascii="仿宋" w:hAnsi="仿宋" w:eastAsia="仿宋" w:cs="仿宋"/>
                <w:color w:val="auto"/>
                <w:sz w:val="24"/>
                <w:szCs w:val="24"/>
              </w:rPr>
              <w:t>学位</w:t>
            </w:r>
          </w:p>
        </w:tc>
        <w:tc>
          <w:tcPr>
            <w:tcW w:w="25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8" w:lineRule="exact"/>
              <w:ind w:left="698"/>
              <w:jc w:val="both"/>
              <w:rPr>
                <w:rFonts w:hint="eastAsia" w:ascii="仿宋" w:hAnsi="仿宋" w:eastAsia="仿宋" w:cs="仿宋"/>
                <w:color w:val="auto"/>
                <w:sz w:val="24"/>
                <w:szCs w:val="24"/>
              </w:rPr>
            </w:pPr>
            <w:r>
              <w:rPr>
                <w:rFonts w:hint="eastAsia" w:ascii="仿宋" w:hAnsi="仿宋" w:eastAsia="仿宋" w:cs="仿宋"/>
                <w:color w:val="auto"/>
                <w:sz w:val="24"/>
                <w:szCs w:val="24"/>
              </w:rPr>
              <w:t>证件号码</w:t>
            </w:r>
          </w:p>
        </w:tc>
      </w:tr>
      <w:tr>
        <w:tblPrEx>
          <w:tblLayout w:type="fixed"/>
          <w:tblCellMar>
            <w:top w:w="0" w:type="dxa"/>
            <w:left w:w="108" w:type="dxa"/>
            <w:bottom w:w="0" w:type="dxa"/>
            <w:right w:w="108" w:type="dxa"/>
          </w:tblCellMar>
        </w:tblPrEx>
        <w:trPr>
          <w:trHeight w:val="787" w:hRule="exact"/>
        </w:trPr>
        <w:tc>
          <w:tcPr>
            <w:tcW w:w="960" w:type="dxa"/>
            <w:vMerge w:val="continue"/>
            <w:tcBorders>
              <w:left w:val="single" w:color="000000" w:sz="6" w:space="0"/>
              <w:right w:val="single" w:color="000000" w:sz="6" w:space="0"/>
            </w:tcBorders>
            <w:shd w:val="clear" w:color="auto" w:fill="auto"/>
            <w:tcMar>
              <w:left w:w="0" w:type="dxa"/>
              <w:right w:w="0" w:type="dxa"/>
            </w:tcMar>
            <w:vAlign w:val="center"/>
          </w:tcPr>
          <w:p>
            <w:pPr>
              <w:spacing w:line="448" w:lineRule="exact"/>
              <w:jc w:val="center"/>
              <w:rPr>
                <w:rFonts w:hint="eastAsia" w:ascii="仿宋" w:hAnsi="仿宋" w:eastAsia="仿宋" w:cs="仿宋"/>
                <w:color w:val="auto"/>
                <w:sz w:val="24"/>
                <w:szCs w:val="24"/>
              </w:rPr>
            </w:pPr>
          </w:p>
        </w:tc>
        <w:tc>
          <w:tcPr>
            <w:tcW w:w="116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56" w:lineRule="exact"/>
              <w:ind w:left="192"/>
              <w:jc w:val="center"/>
              <w:rPr>
                <w:rFonts w:hint="eastAsia" w:ascii="仿宋" w:hAnsi="仿宋" w:eastAsia="仿宋" w:cs="仿宋"/>
                <w:color w:val="auto"/>
                <w:sz w:val="24"/>
                <w:szCs w:val="24"/>
              </w:rPr>
            </w:pPr>
          </w:p>
        </w:tc>
        <w:tc>
          <w:tcPr>
            <w:tcW w:w="285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311" w:lineRule="exact"/>
              <w:ind w:firstLine="240" w:firstLineChars="100"/>
              <w:jc w:val="center"/>
              <w:rPr>
                <w:rFonts w:hint="eastAsia" w:ascii="仿宋" w:hAnsi="仿宋" w:eastAsia="仿宋" w:cs="仿宋"/>
                <w:color w:val="auto"/>
                <w:sz w:val="24"/>
                <w:szCs w:val="24"/>
              </w:rPr>
            </w:pP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56" w:lineRule="exact"/>
              <w:ind w:left="127"/>
              <w:jc w:val="center"/>
              <w:rPr>
                <w:rFonts w:hint="eastAsia" w:ascii="仿宋" w:hAnsi="仿宋" w:eastAsia="仿宋" w:cs="仿宋"/>
                <w:color w:val="auto"/>
                <w:sz w:val="24"/>
                <w:szCs w:val="24"/>
              </w:rPr>
            </w:pPr>
          </w:p>
        </w:tc>
        <w:tc>
          <w:tcPr>
            <w:tcW w:w="968"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56" w:lineRule="exact"/>
              <w:ind w:left="238"/>
              <w:jc w:val="center"/>
              <w:rPr>
                <w:rFonts w:hint="eastAsia" w:ascii="仿宋" w:hAnsi="仿宋" w:eastAsia="仿宋" w:cs="仿宋"/>
                <w:color w:val="auto"/>
                <w:sz w:val="24"/>
                <w:szCs w:val="24"/>
              </w:rPr>
            </w:pPr>
          </w:p>
        </w:tc>
        <w:tc>
          <w:tcPr>
            <w:tcW w:w="25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56" w:lineRule="exact"/>
              <w:ind w:left="278"/>
              <w:jc w:val="center"/>
              <w:rPr>
                <w:rFonts w:hint="eastAsia" w:ascii="仿宋" w:hAnsi="仿宋" w:eastAsia="仿宋" w:cs="仿宋"/>
                <w:color w:val="auto"/>
                <w:sz w:val="24"/>
                <w:szCs w:val="24"/>
              </w:rPr>
            </w:pPr>
          </w:p>
        </w:tc>
      </w:tr>
      <w:tr>
        <w:tblPrEx>
          <w:tblLayout w:type="fixed"/>
          <w:tblCellMar>
            <w:top w:w="0" w:type="dxa"/>
            <w:left w:w="108" w:type="dxa"/>
            <w:bottom w:w="0" w:type="dxa"/>
            <w:right w:w="108" w:type="dxa"/>
          </w:tblCellMar>
        </w:tblPrEx>
        <w:trPr>
          <w:trHeight w:val="766" w:hRule="exact"/>
        </w:trPr>
        <w:tc>
          <w:tcPr>
            <w:tcW w:w="960" w:type="dxa"/>
            <w:vMerge w:val="continue"/>
            <w:tcBorders>
              <w:left w:val="single" w:color="000000" w:sz="6" w:space="0"/>
              <w:right w:val="single" w:color="000000" w:sz="6" w:space="0"/>
            </w:tcBorders>
            <w:shd w:val="clear" w:color="auto" w:fill="auto"/>
            <w:tcMar>
              <w:left w:w="0" w:type="dxa"/>
              <w:right w:w="0" w:type="dxa"/>
            </w:tcMar>
            <w:vAlign w:val="center"/>
          </w:tcPr>
          <w:p>
            <w:pPr>
              <w:spacing w:line="456" w:lineRule="exact"/>
              <w:jc w:val="center"/>
              <w:rPr>
                <w:rFonts w:hint="eastAsia" w:ascii="仿宋" w:hAnsi="仿宋" w:eastAsia="仿宋" w:cs="仿宋"/>
                <w:color w:val="auto"/>
                <w:sz w:val="24"/>
                <w:szCs w:val="24"/>
              </w:rPr>
            </w:pPr>
          </w:p>
        </w:tc>
        <w:tc>
          <w:tcPr>
            <w:tcW w:w="116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8" w:lineRule="exact"/>
              <w:ind w:left="192"/>
              <w:jc w:val="center"/>
              <w:rPr>
                <w:rFonts w:hint="eastAsia" w:ascii="仿宋" w:hAnsi="仿宋" w:eastAsia="仿宋" w:cs="仿宋"/>
                <w:color w:val="auto"/>
                <w:sz w:val="24"/>
                <w:szCs w:val="24"/>
              </w:rPr>
            </w:pPr>
          </w:p>
        </w:tc>
        <w:tc>
          <w:tcPr>
            <w:tcW w:w="285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8" w:lineRule="exact"/>
              <w:ind w:left="176"/>
              <w:jc w:val="center"/>
              <w:rPr>
                <w:rFonts w:hint="eastAsia" w:ascii="仿宋" w:hAnsi="仿宋" w:eastAsia="仿宋" w:cs="仿宋"/>
                <w:color w:val="auto"/>
                <w:sz w:val="24"/>
                <w:szCs w:val="24"/>
              </w:rPr>
            </w:pP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8" w:lineRule="exact"/>
              <w:ind w:left="127"/>
              <w:jc w:val="center"/>
              <w:rPr>
                <w:rFonts w:hint="eastAsia" w:ascii="仿宋" w:hAnsi="仿宋" w:eastAsia="仿宋" w:cs="仿宋"/>
                <w:color w:val="auto"/>
                <w:sz w:val="24"/>
                <w:szCs w:val="24"/>
              </w:rPr>
            </w:pPr>
          </w:p>
        </w:tc>
        <w:tc>
          <w:tcPr>
            <w:tcW w:w="968"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8" w:lineRule="exact"/>
              <w:ind w:left="238"/>
              <w:jc w:val="center"/>
              <w:rPr>
                <w:rFonts w:hint="eastAsia" w:ascii="仿宋" w:hAnsi="仿宋" w:eastAsia="仿宋" w:cs="仿宋"/>
                <w:color w:val="auto"/>
                <w:sz w:val="24"/>
                <w:szCs w:val="24"/>
              </w:rPr>
            </w:pPr>
          </w:p>
        </w:tc>
        <w:tc>
          <w:tcPr>
            <w:tcW w:w="25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8" w:lineRule="exact"/>
              <w:ind w:left="98"/>
              <w:jc w:val="center"/>
              <w:rPr>
                <w:rFonts w:hint="eastAsia" w:ascii="仿宋" w:hAnsi="仿宋" w:eastAsia="仿宋" w:cs="仿宋"/>
                <w:color w:val="auto"/>
                <w:sz w:val="24"/>
                <w:szCs w:val="24"/>
              </w:rPr>
            </w:pPr>
          </w:p>
        </w:tc>
      </w:tr>
      <w:tr>
        <w:tblPrEx>
          <w:tblLayout w:type="fixed"/>
          <w:tblCellMar>
            <w:top w:w="0" w:type="dxa"/>
            <w:left w:w="108" w:type="dxa"/>
            <w:bottom w:w="0" w:type="dxa"/>
            <w:right w:w="108" w:type="dxa"/>
          </w:tblCellMar>
        </w:tblPrEx>
        <w:trPr>
          <w:trHeight w:val="767" w:hRule="exact"/>
        </w:trPr>
        <w:tc>
          <w:tcPr>
            <w:tcW w:w="960" w:type="dxa"/>
            <w:vMerge w:val="continue"/>
            <w:tcBorders>
              <w:left w:val="single" w:color="000000" w:sz="6" w:space="0"/>
              <w:right w:val="single" w:color="000000" w:sz="6" w:space="0"/>
            </w:tcBorders>
            <w:shd w:val="clear" w:color="auto" w:fill="auto"/>
            <w:tcMar>
              <w:left w:w="0" w:type="dxa"/>
              <w:right w:w="0" w:type="dxa"/>
            </w:tcMar>
            <w:vAlign w:val="center"/>
          </w:tcPr>
          <w:p>
            <w:pPr>
              <w:spacing w:line="448" w:lineRule="exact"/>
              <w:jc w:val="center"/>
              <w:rPr>
                <w:rFonts w:hint="eastAsia" w:ascii="仿宋" w:hAnsi="仿宋" w:eastAsia="仿宋" w:cs="仿宋"/>
                <w:color w:val="auto"/>
                <w:sz w:val="24"/>
                <w:szCs w:val="24"/>
              </w:rPr>
            </w:pPr>
          </w:p>
        </w:tc>
        <w:tc>
          <w:tcPr>
            <w:tcW w:w="116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9" w:lineRule="exact"/>
              <w:ind w:left="312"/>
              <w:jc w:val="center"/>
              <w:rPr>
                <w:rFonts w:hint="eastAsia" w:ascii="仿宋" w:hAnsi="仿宋" w:eastAsia="仿宋" w:cs="仿宋"/>
                <w:color w:val="auto"/>
                <w:sz w:val="24"/>
                <w:szCs w:val="24"/>
              </w:rPr>
            </w:pPr>
          </w:p>
        </w:tc>
        <w:tc>
          <w:tcPr>
            <w:tcW w:w="285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9" w:lineRule="exact"/>
              <w:ind w:left="176"/>
              <w:jc w:val="center"/>
              <w:rPr>
                <w:rFonts w:hint="eastAsia" w:ascii="仿宋" w:hAnsi="仿宋" w:eastAsia="仿宋" w:cs="仿宋"/>
                <w:color w:val="auto"/>
                <w:sz w:val="24"/>
                <w:szCs w:val="24"/>
              </w:rPr>
            </w:pP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9" w:lineRule="exact"/>
              <w:ind w:left="127"/>
              <w:jc w:val="center"/>
              <w:rPr>
                <w:rFonts w:hint="eastAsia" w:ascii="仿宋" w:hAnsi="仿宋" w:eastAsia="仿宋" w:cs="仿宋"/>
                <w:color w:val="auto"/>
                <w:sz w:val="24"/>
                <w:szCs w:val="24"/>
              </w:rPr>
            </w:pPr>
          </w:p>
        </w:tc>
        <w:tc>
          <w:tcPr>
            <w:tcW w:w="968"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9" w:lineRule="exact"/>
              <w:ind w:left="238"/>
              <w:jc w:val="center"/>
              <w:rPr>
                <w:rFonts w:hint="eastAsia" w:ascii="仿宋" w:hAnsi="仿宋" w:eastAsia="仿宋" w:cs="仿宋"/>
                <w:color w:val="auto"/>
                <w:sz w:val="24"/>
                <w:szCs w:val="24"/>
              </w:rPr>
            </w:pPr>
          </w:p>
        </w:tc>
        <w:tc>
          <w:tcPr>
            <w:tcW w:w="25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9" w:lineRule="exact"/>
              <w:ind w:left="98"/>
              <w:jc w:val="center"/>
              <w:rPr>
                <w:rFonts w:hint="eastAsia" w:ascii="仿宋" w:hAnsi="仿宋" w:eastAsia="仿宋" w:cs="仿宋"/>
                <w:color w:val="auto"/>
                <w:sz w:val="24"/>
                <w:szCs w:val="24"/>
              </w:rPr>
            </w:pPr>
          </w:p>
        </w:tc>
      </w:tr>
      <w:tr>
        <w:tblPrEx>
          <w:tblLayout w:type="fixed"/>
          <w:tblCellMar>
            <w:top w:w="0" w:type="dxa"/>
            <w:left w:w="108" w:type="dxa"/>
            <w:bottom w:w="0" w:type="dxa"/>
            <w:right w:w="108" w:type="dxa"/>
          </w:tblCellMar>
        </w:tblPrEx>
        <w:trPr>
          <w:trHeight w:val="767" w:hRule="exact"/>
        </w:trPr>
        <w:tc>
          <w:tcPr>
            <w:tcW w:w="960" w:type="dxa"/>
            <w:vMerge w:val="continue"/>
            <w:tcBorders>
              <w:left w:val="single" w:color="000000" w:sz="6" w:space="0"/>
              <w:right w:val="single" w:color="000000" w:sz="6" w:space="0"/>
            </w:tcBorders>
            <w:shd w:val="clear" w:color="auto" w:fill="auto"/>
            <w:tcMar>
              <w:left w:w="0" w:type="dxa"/>
              <w:right w:w="0" w:type="dxa"/>
            </w:tcMar>
            <w:vAlign w:val="center"/>
          </w:tcPr>
          <w:p>
            <w:pPr>
              <w:spacing w:line="449" w:lineRule="exact"/>
              <w:jc w:val="center"/>
              <w:rPr>
                <w:rFonts w:hint="eastAsia" w:ascii="仿宋" w:hAnsi="仿宋" w:eastAsia="仿宋" w:cs="仿宋"/>
                <w:color w:val="auto"/>
                <w:sz w:val="24"/>
                <w:szCs w:val="24"/>
              </w:rPr>
            </w:pPr>
          </w:p>
        </w:tc>
        <w:tc>
          <w:tcPr>
            <w:tcW w:w="116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9" w:lineRule="exact"/>
              <w:ind w:left="192"/>
              <w:jc w:val="center"/>
              <w:rPr>
                <w:rFonts w:hint="eastAsia" w:ascii="仿宋" w:hAnsi="仿宋" w:eastAsia="仿宋" w:cs="仿宋"/>
                <w:color w:val="auto"/>
                <w:sz w:val="24"/>
                <w:szCs w:val="24"/>
              </w:rPr>
            </w:pPr>
          </w:p>
        </w:tc>
        <w:tc>
          <w:tcPr>
            <w:tcW w:w="285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9" w:lineRule="exact"/>
              <w:ind w:left="56"/>
              <w:jc w:val="center"/>
              <w:rPr>
                <w:rFonts w:hint="eastAsia" w:ascii="仿宋" w:hAnsi="仿宋" w:eastAsia="仿宋" w:cs="仿宋"/>
                <w:color w:val="auto"/>
                <w:sz w:val="24"/>
                <w:szCs w:val="24"/>
              </w:rPr>
            </w:pP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9" w:lineRule="exact"/>
              <w:ind w:left="127"/>
              <w:jc w:val="center"/>
              <w:rPr>
                <w:rFonts w:hint="eastAsia" w:ascii="仿宋" w:hAnsi="仿宋" w:eastAsia="仿宋" w:cs="仿宋"/>
                <w:color w:val="auto"/>
                <w:sz w:val="24"/>
                <w:szCs w:val="24"/>
              </w:rPr>
            </w:pPr>
          </w:p>
        </w:tc>
        <w:tc>
          <w:tcPr>
            <w:tcW w:w="968"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9" w:lineRule="exact"/>
              <w:ind w:left="238"/>
              <w:jc w:val="center"/>
              <w:rPr>
                <w:rFonts w:hint="eastAsia" w:ascii="仿宋" w:hAnsi="仿宋" w:eastAsia="仿宋" w:cs="仿宋"/>
                <w:color w:val="auto"/>
                <w:sz w:val="24"/>
                <w:szCs w:val="24"/>
              </w:rPr>
            </w:pPr>
          </w:p>
        </w:tc>
        <w:tc>
          <w:tcPr>
            <w:tcW w:w="25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500" w:lineRule="exact"/>
              <w:jc w:val="center"/>
              <w:rPr>
                <w:rFonts w:hint="eastAsia" w:ascii="仿宋" w:hAnsi="仿宋" w:eastAsia="仿宋" w:cs="仿宋"/>
                <w:color w:val="auto"/>
                <w:sz w:val="24"/>
                <w:szCs w:val="24"/>
              </w:rPr>
            </w:pPr>
          </w:p>
        </w:tc>
      </w:tr>
      <w:tr>
        <w:tblPrEx>
          <w:tblLayout w:type="fixed"/>
          <w:tblCellMar>
            <w:top w:w="0" w:type="dxa"/>
            <w:left w:w="108" w:type="dxa"/>
            <w:bottom w:w="0" w:type="dxa"/>
            <w:right w:w="108" w:type="dxa"/>
          </w:tblCellMar>
        </w:tblPrEx>
        <w:trPr>
          <w:trHeight w:val="767" w:hRule="exact"/>
        </w:trPr>
        <w:tc>
          <w:tcPr>
            <w:tcW w:w="960" w:type="dxa"/>
            <w:vMerge w:val="continue"/>
            <w:tcBorders>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49" w:lineRule="exact"/>
              <w:jc w:val="center"/>
              <w:rPr>
                <w:rFonts w:hint="eastAsia" w:ascii="仿宋" w:hAnsi="仿宋" w:eastAsia="仿宋" w:cs="仿宋"/>
                <w:color w:val="auto"/>
                <w:sz w:val="24"/>
                <w:szCs w:val="24"/>
              </w:rPr>
            </w:pPr>
          </w:p>
        </w:tc>
        <w:tc>
          <w:tcPr>
            <w:tcW w:w="116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9" w:lineRule="exact"/>
              <w:ind w:left="192"/>
              <w:jc w:val="center"/>
              <w:rPr>
                <w:rFonts w:hint="eastAsia" w:ascii="仿宋" w:hAnsi="仿宋" w:eastAsia="仿宋" w:cs="仿宋"/>
                <w:color w:val="auto"/>
                <w:sz w:val="24"/>
                <w:szCs w:val="24"/>
              </w:rPr>
            </w:pPr>
          </w:p>
        </w:tc>
        <w:tc>
          <w:tcPr>
            <w:tcW w:w="2850"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9" w:lineRule="exact"/>
              <w:ind w:left="56"/>
              <w:jc w:val="center"/>
              <w:rPr>
                <w:rFonts w:hint="eastAsia" w:ascii="仿宋" w:hAnsi="仿宋" w:eastAsia="仿宋" w:cs="仿宋"/>
                <w:color w:val="auto"/>
                <w:sz w:val="24"/>
                <w:szCs w:val="24"/>
              </w:rPr>
            </w:pPr>
          </w:p>
        </w:tc>
        <w:tc>
          <w:tcPr>
            <w:tcW w:w="103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9" w:lineRule="exact"/>
              <w:ind w:left="127"/>
              <w:jc w:val="center"/>
              <w:rPr>
                <w:rFonts w:hint="eastAsia" w:ascii="仿宋" w:hAnsi="仿宋" w:eastAsia="仿宋" w:cs="仿宋"/>
                <w:color w:val="auto"/>
                <w:sz w:val="24"/>
                <w:szCs w:val="24"/>
              </w:rPr>
            </w:pPr>
          </w:p>
        </w:tc>
        <w:tc>
          <w:tcPr>
            <w:tcW w:w="968"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9" w:lineRule="exact"/>
              <w:ind w:left="238"/>
              <w:jc w:val="center"/>
              <w:rPr>
                <w:rFonts w:hint="eastAsia" w:ascii="仿宋" w:hAnsi="仿宋" w:eastAsia="仿宋" w:cs="仿宋"/>
                <w:color w:val="auto"/>
                <w:sz w:val="24"/>
                <w:szCs w:val="24"/>
              </w:rPr>
            </w:pPr>
          </w:p>
        </w:tc>
        <w:tc>
          <w:tcPr>
            <w:tcW w:w="25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49" w:lineRule="exact"/>
              <w:ind w:left="98"/>
              <w:jc w:val="center"/>
              <w:rPr>
                <w:rFonts w:hint="eastAsia" w:ascii="仿宋" w:hAnsi="仿宋" w:eastAsia="仿宋" w:cs="仿宋"/>
                <w:color w:val="auto"/>
                <w:sz w:val="24"/>
                <w:szCs w:val="24"/>
              </w:rPr>
            </w:pPr>
          </w:p>
        </w:tc>
      </w:tr>
      <w:tr>
        <w:tblPrEx>
          <w:tblLayout w:type="fixed"/>
          <w:tblCellMar>
            <w:top w:w="0" w:type="dxa"/>
            <w:left w:w="108" w:type="dxa"/>
            <w:bottom w:w="0" w:type="dxa"/>
            <w:right w:w="108" w:type="dxa"/>
          </w:tblCellMar>
        </w:tblPrEx>
        <w:trPr>
          <w:trHeight w:val="695" w:hRule="exact"/>
        </w:trPr>
        <w:tc>
          <w:tcPr>
            <w:tcW w:w="96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696" w:lineRule="exact"/>
              <w:ind w:left="107"/>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联系人</w:t>
            </w:r>
          </w:p>
        </w:tc>
        <w:tc>
          <w:tcPr>
            <w:tcW w:w="116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08" w:lineRule="exact"/>
              <w:ind w:left="252"/>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232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9" w:lineRule="exact"/>
              <w:jc w:val="center"/>
              <w:rPr>
                <w:rFonts w:hint="eastAsia" w:ascii="仿宋" w:hAnsi="仿宋" w:eastAsia="仿宋" w:cs="仿宋"/>
                <w:color w:val="auto"/>
                <w:sz w:val="24"/>
                <w:szCs w:val="24"/>
              </w:rPr>
            </w:pPr>
          </w:p>
        </w:tc>
        <w:tc>
          <w:tcPr>
            <w:tcW w:w="1561"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08" w:lineRule="exact"/>
              <w:ind w:left="286"/>
              <w:jc w:val="center"/>
              <w:rPr>
                <w:rFonts w:hint="eastAsia" w:ascii="仿宋" w:hAnsi="仿宋" w:eastAsia="仿宋" w:cs="仿宋"/>
                <w:color w:val="auto"/>
                <w:sz w:val="24"/>
                <w:szCs w:val="24"/>
              </w:rPr>
            </w:pPr>
            <w:r>
              <w:rPr>
                <w:rFonts w:hint="eastAsia" w:ascii="仿宋" w:hAnsi="仿宋" w:eastAsia="仿宋" w:cs="仿宋"/>
                <w:color w:val="auto"/>
                <w:sz w:val="24"/>
                <w:szCs w:val="24"/>
              </w:rPr>
              <w:t>电子邮箱</w:t>
            </w:r>
          </w:p>
        </w:tc>
        <w:tc>
          <w:tcPr>
            <w:tcW w:w="3468"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9" w:lineRule="exact"/>
              <w:ind w:left="396"/>
              <w:jc w:val="center"/>
              <w:rPr>
                <w:rFonts w:hint="eastAsia" w:ascii="仿宋" w:hAnsi="仿宋" w:eastAsia="仿宋" w:cs="仿宋"/>
                <w:color w:val="auto"/>
                <w:sz w:val="24"/>
                <w:szCs w:val="24"/>
              </w:rPr>
            </w:pPr>
          </w:p>
        </w:tc>
      </w:tr>
      <w:tr>
        <w:tblPrEx>
          <w:tblLayout w:type="fixed"/>
          <w:tblCellMar>
            <w:top w:w="0" w:type="dxa"/>
            <w:left w:w="108" w:type="dxa"/>
            <w:bottom w:w="0" w:type="dxa"/>
            <w:right w:w="108" w:type="dxa"/>
          </w:tblCellMar>
        </w:tblPrEx>
        <w:trPr>
          <w:trHeight w:val="728" w:hRule="exac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19" w:lineRule="exact"/>
              <w:jc w:val="center"/>
              <w:rPr>
                <w:rFonts w:hint="eastAsia" w:ascii="仿宋" w:hAnsi="仿宋" w:eastAsia="仿宋" w:cs="仿宋"/>
                <w:color w:val="auto"/>
                <w:sz w:val="24"/>
                <w:szCs w:val="24"/>
              </w:rPr>
            </w:pPr>
          </w:p>
        </w:tc>
        <w:tc>
          <w:tcPr>
            <w:tcW w:w="116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08" w:lineRule="exact"/>
              <w:ind w:left="72"/>
              <w:jc w:val="center"/>
              <w:rPr>
                <w:rFonts w:hint="eastAsia" w:ascii="仿宋" w:hAnsi="仿宋" w:eastAsia="仿宋" w:cs="仿宋"/>
                <w:color w:val="auto"/>
                <w:sz w:val="24"/>
                <w:szCs w:val="24"/>
              </w:rPr>
            </w:pPr>
            <w:r>
              <w:rPr>
                <w:rFonts w:hint="eastAsia" w:ascii="仿宋" w:hAnsi="仿宋" w:eastAsia="仿宋" w:cs="仿宋"/>
                <w:color w:val="auto"/>
                <w:sz w:val="24"/>
                <w:szCs w:val="24"/>
              </w:rPr>
              <w:t>固定电话</w:t>
            </w:r>
          </w:p>
        </w:tc>
        <w:tc>
          <w:tcPr>
            <w:tcW w:w="232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8" w:lineRule="exact"/>
              <w:ind w:left="401"/>
              <w:jc w:val="center"/>
              <w:rPr>
                <w:rFonts w:hint="eastAsia" w:ascii="仿宋" w:hAnsi="仿宋" w:eastAsia="仿宋" w:cs="仿宋"/>
                <w:color w:val="auto"/>
                <w:sz w:val="24"/>
                <w:szCs w:val="24"/>
              </w:rPr>
            </w:pPr>
          </w:p>
        </w:tc>
        <w:tc>
          <w:tcPr>
            <w:tcW w:w="1561"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08" w:lineRule="exact"/>
              <w:ind w:left="286"/>
              <w:jc w:val="center"/>
              <w:rPr>
                <w:rFonts w:hint="eastAsia" w:ascii="仿宋" w:hAnsi="仿宋" w:eastAsia="仿宋" w:cs="仿宋"/>
                <w:color w:val="auto"/>
                <w:sz w:val="24"/>
                <w:szCs w:val="24"/>
              </w:rPr>
            </w:pPr>
            <w:r>
              <w:rPr>
                <w:rFonts w:hint="eastAsia" w:ascii="仿宋" w:hAnsi="仿宋" w:eastAsia="仿宋" w:cs="仿宋"/>
                <w:color w:val="auto"/>
                <w:sz w:val="24"/>
                <w:szCs w:val="24"/>
              </w:rPr>
              <w:t>移动电话</w:t>
            </w:r>
          </w:p>
        </w:tc>
        <w:tc>
          <w:tcPr>
            <w:tcW w:w="3468"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after="0" w:line="418" w:lineRule="exact"/>
              <w:ind w:left="1056"/>
              <w:jc w:val="center"/>
              <w:rPr>
                <w:rFonts w:hint="eastAsia" w:ascii="仿宋" w:hAnsi="仿宋" w:eastAsia="仿宋" w:cs="仿宋"/>
                <w:color w:val="auto"/>
                <w:sz w:val="24"/>
                <w:szCs w:val="24"/>
              </w:rPr>
            </w:pPr>
          </w:p>
        </w:tc>
      </w:tr>
    </w:tbl>
    <w:p>
      <w:pPr>
        <w:spacing w:after="0" w:line="418" w:lineRule="exact"/>
        <w:ind w:left="397"/>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一、基本信息</w:t>
      </w:r>
    </w:p>
    <w:p>
      <w:pPr>
        <w:spacing w:after="0" w:line="240" w:lineRule="exact"/>
        <w:jc w:val="center"/>
        <w:rPr>
          <w:color w:val="auto"/>
        </w:rPr>
      </w:pPr>
    </w:p>
    <w:p>
      <w:pPr>
        <w:spacing w:after="0" w:line="240" w:lineRule="exact"/>
        <w:rPr>
          <w:color w:val="auto"/>
        </w:rPr>
      </w:pPr>
    </w:p>
    <w:p>
      <w:pPr>
        <w:spacing w:after="0" w:line="240" w:lineRule="exact"/>
        <w:rPr>
          <w:color w:val="auto"/>
        </w:rPr>
        <w:sectPr>
          <w:pgSz w:w="11906" w:h="16838"/>
          <w:pgMar w:top="1440" w:right="1800" w:bottom="1440" w:left="1800" w:header="851" w:footer="992" w:gutter="0"/>
          <w:cols w:space="425" w:num="1"/>
          <w:docGrid w:type="lines" w:linePitch="312" w:charSpace="0"/>
        </w:sectPr>
      </w:pPr>
    </w:p>
    <w:p>
      <w:pPr>
        <w:numPr>
          <w:ilvl w:val="0"/>
          <w:numId w:val="2"/>
        </w:numPr>
        <w:spacing w:after="0" w:line="418" w:lineRule="exact"/>
        <w:ind w:left="397"/>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拟解决的关键科学、技术问题和研究目标（300字）</w:t>
      </w:r>
    </w:p>
    <w:p>
      <w:pPr>
        <w:widowControl w:val="0"/>
        <w:numPr>
          <w:ilvl w:val="0"/>
          <w:numId w:val="0"/>
        </w:numPr>
        <w:spacing w:after="0" w:line="418" w:lineRule="exact"/>
        <w:jc w:val="both"/>
        <w:rPr>
          <w:rFonts w:hint="eastAsia" w:ascii="仿宋" w:hAnsi="仿宋" w:eastAsia="仿宋" w:cs="仿宋"/>
          <w:color w:val="auto"/>
          <w:sz w:val="24"/>
          <w:lang w:val="en-US" w:eastAsia="zh-CN"/>
        </w:rPr>
      </w:pPr>
    </w:p>
    <w:p>
      <w:pPr>
        <w:widowControl w:val="0"/>
        <w:numPr>
          <w:ilvl w:val="0"/>
          <w:numId w:val="0"/>
        </w:numPr>
        <w:spacing w:after="0" w:line="418" w:lineRule="exact"/>
        <w:jc w:val="both"/>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正文格式：小四，仿宋，1.5倍行距</w:t>
      </w:r>
    </w:p>
    <w:p>
      <w:pPr>
        <w:widowControl w:val="0"/>
        <w:numPr>
          <w:ilvl w:val="0"/>
          <w:numId w:val="0"/>
        </w:numPr>
        <w:spacing w:after="0" w:line="418" w:lineRule="exact"/>
        <w:jc w:val="both"/>
        <w:rPr>
          <w:rFonts w:hint="eastAsia" w:ascii="仿宋" w:hAnsi="仿宋" w:eastAsia="仿宋" w:cs="仿宋"/>
          <w:color w:val="auto"/>
          <w:sz w:val="24"/>
          <w:lang w:val="en-US" w:eastAsia="zh-CN"/>
        </w:rPr>
      </w:pPr>
    </w:p>
    <w:p>
      <w:pPr>
        <w:widowControl w:val="0"/>
        <w:numPr>
          <w:ilvl w:val="0"/>
          <w:numId w:val="0"/>
        </w:numPr>
        <w:spacing w:after="0" w:line="418" w:lineRule="exact"/>
        <w:jc w:val="both"/>
        <w:rPr>
          <w:rFonts w:hint="eastAsia" w:ascii="仿宋" w:hAnsi="仿宋" w:eastAsia="仿宋" w:cs="仿宋"/>
          <w:color w:val="auto"/>
          <w:sz w:val="24"/>
          <w:lang w:val="en-US" w:eastAsia="zh-CN"/>
        </w:rPr>
      </w:pPr>
    </w:p>
    <w:p>
      <w:pPr>
        <w:widowControl w:val="0"/>
        <w:numPr>
          <w:ilvl w:val="0"/>
          <w:numId w:val="0"/>
        </w:numPr>
        <w:spacing w:after="0" w:line="418" w:lineRule="exact"/>
        <w:jc w:val="both"/>
        <w:rPr>
          <w:rFonts w:hint="eastAsia" w:ascii="仿宋" w:hAnsi="仿宋" w:eastAsia="仿宋" w:cs="仿宋"/>
          <w:color w:val="auto"/>
          <w:sz w:val="24"/>
          <w:lang w:val="en-US" w:eastAsia="zh-CN"/>
        </w:rPr>
      </w:pPr>
    </w:p>
    <w:p>
      <w:pPr>
        <w:numPr>
          <w:ilvl w:val="0"/>
          <w:numId w:val="2"/>
        </w:numPr>
        <w:spacing w:after="0" w:line="418" w:lineRule="exact"/>
        <w:ind w:left="397"/>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主要研究内容及技术路线（1500字）</w:t>
      </w:r>
    </w:p>
    <w:p>
      <w:pPr>
        <w:numPr>
          <w:ilvl w:val="0"/>
          <w:numId w:val="0"/>
        </w:numPr>
        <w:spacing w:after="0" w:line="418" w:lineRule="exact"/>
        <w:rPr>
          <w:rFonts w:hint="eastAsia" w:ascii="仿宋" w:hAnsi="仿宋" w:eastAsia="仿宋" w:cs="仿宋"/>
          <w:color w:val="auto"/>
          <w:sz w:val="24"/>
          <w:lang w:val="en-US" w:eastAsia="zh-CN"/>
        </w:rPr>
      </w:pPr>
    </w:p>
    <w:p>
      <w:pPr>
        <w:widowControl w:val="0"/>
        <w:numPr>
          <w:ilvl w:val="0"/>
          <w:numId w:val="0"/>
        </w:numPr>
        <w:spacing w:after="0" w:line="418" w:lineRule="exact"/>
        <w:jc w:val="both"/>
        <w:rPr>
          <w:rFonts w:hint="eastAsia" w:ascii="仿宋" w:hAnsi="仿宋" w:eastAsia="仿宋" w:cs="仿宋"/>
          <w:color w:val="auto"/>
          <w:sz w:val="24"/>
          <w:lang w:val="en-US" w:eastAsia="zh-CN"/>
        </w:rPr>
      </w:pPr>
    </w:p>
    <w:p>
      <w:pPr>
        <w:widowControl w:val="0"/>
        <w:numPr>
          <w:ilvl w:val="0"/>
          <w:numId w:val="0"/>
        </w:numPr>
        <w:spacing w:after="0" w:line="418" w:lineRule="exact"/>
        <w:jc w:val="both"/>
        <w:rPr>
          <w:rFonts w:hint="eastAsia" w:ascii="仿宋" w:hAnsi="仿宋" w:eastAsia="仿宋" w:cs="仿宋"/>
          <w:color w:val="auto"/>
          <w:sz w:val="24"/>
          <w:lang w:val="en-US" w:eastAsia="zh-CN"/>
        </w:rPr>
      </w:pPr>
    </w:p>
    <w:p>
      <w:pPr>
        <w:numPr>
          <w:ilvl w:val="0"/>
          <w:numId w:val="2"/>
        </w:numPr>
        <w:spacing w:after="0" w:line="418" w:lineRule="exact"/>
        <w:ind w:left="397"/>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考核指标（150字）</w:t>
      </w:r>
    </w:p>
    <w:p>
      <w:pPr>
        <w:widowControl w:val="0"/>
        <w:numPr>
          <w:ilvl w:val="0"/>
          <w:numId w:val="0"/>
        </w:numPr>
        <w:spacing w:after="0" w:line="418" w:lineRule="exact"/>
        <w:jc w:val="both"/>
        <w:rPr>
          <w:rFonts w:hint="eastAsia" w:ascii="仿宋" w:hAnsi="仿宋" w:eastAsia="仿宋" w:cs="仿宋"/>
          <w:color w:val="auto"/>
          <w:sz w:val="24"/>
          <w:lang w:val="en-US" w:eastAsia="zh-CN"/>
        </w:rPr>
      </w:pPr>
    </w:p>
    <w:p>
      <w:pPr>
        <w:widowControl w:val="0"/>
        <w:numPr>
          <w:ilvl w:val="0"/>
          <w:numId w:val="0"/>
        </w:numPr>
        <w:spacing w:after="0" w:line="418" w:lineRule="exact"/>
        <w:jc w:val="both"/>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需明确考核指标呈现形式</w:t>
      </w:r>
    </w:p>
    <w:p>
      <w:pPr>
        <w:widowControl w:val="0"/>
        <w:numPr>
          <w:ilvl w:val="0"/>
          <w:numId w:val="0"/>
        </w:numPr>
        <w:spacing w:after="0" w:line="418" w:lineRule="exact"/>
        <w:jc w:val="both"/>
        <w:rPr>
          <w:rFonts w:hint="eastAsia" w:ascii="仿宋" w:hAnsi="仿宋" w:eastAsia="仿宋" w:cs="仿宋"/>
          <w:color w:val="auto"/>
          <w:sz w:val="24"/>
          <w:lang w:val="en-US" w:eastAsia="zh-CN"/>
        </w:rPr>
      </w:pPr>
    </w:p>
    <w:p>
      <w:pPr>
        <w:widowControl w:val="0"/>
        <w:numPr>
          <w:ilvl w:val="0"/>
          <w:numId w:val="0"/>
        </w:numPr>
        <w:spacing w:after="0" w:line="418" w:lineRule="exact"/>
        <w:jc w:val="both"/>
        <w:rPr>
          <w:rFonts w:hint="eastAsia" w:ascii="仿宋" w:hAnsi="仿宋" w:eastAsia="仿宋" w:cs="仿宋"/>
          <w:color w:val="auto"/>
          <w:sz w:val="24"/>
          <w:lang w:val="en-US" w:eastAsia="zh-CN"/>
        </w:rPr>
      </w:pPr>
    </w:p>
    <w:p>
      <w:pPr>
        <w:numPr>
          <w:ilvl w:val="0"/>
          <w:numId w:val="2"/>
        </w:numPr>
        <w:spacing w:after="0" w:line="418" w:lineRule="exact"/>
        <w:ind w:left="397"/>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mc:AlternateContent>
          <mc:Choice Requires="wps">
            <w:drawing>
              <wp:anchor distT="0" distB="0" distL="114300" distR="114300" simplePos="0" relativeHeight="251691008" behindDoc="1" locked="0" layoutInCell="1" allowOverlap="1">
                <wp:simplePos x="0" y="0"/>
                <wp:positionH relativeFrom="page">
                  <wp:posOffset>0</wp:posOffset>
                </wp:positionH>
                <wp:positionV relativeFrom="page">
                  <wp:posOffset>0</wp:posOffset>
                </wp:positionV>
                <wp:extent cx="7559675" cy="10694035"/>
                <wp:effectExtent l="0" t="0" r="0" b="0"/>
                <wp:wrapNone/>
                <wp:docPr id="3" name="任意多边形 3"/>
                <wp:cNvGraphicFramePr/>
                <a:graphic xmlns:a="http://schemas.openxmlformats.org/drawingml/2006/main">
                  <a:graphicData uri="http://schemas.microsoft.com/office/word/2010/wordprocessingShape">
                    <wps:wsp>
                      <wps:cNvSpPr/>
                      <wps:spPr>
                        <a:xfrm>
                          <a:off x="0" y="0"/>
                          <a:ext cx="7559675" cy="10694035"/>
                        </a:xfrm>
                        <a:custGeom>
                          <a:avLst/>
                          <a:gdLst/>
                          <a:ahLst/>
                          <a:cxnLst/>
                          <a:pathLst/>
                        </a:custGeom>
                        <a:noFill/>
                        <a:ln w="9525">
                          <a:noFill/>
                        </a:ln>
                      </wps:spPr>
                      <wps:bodyPr upright="1"/>
                    </wps:wsp>
                  </a:graphicData>
                </a:graphic>
              </wp:anchor>
            </w:drawing>
          </mc:Choice>
          <mc:Fallback>
            <w:pict>
              <v:shape id="_x0000_s1026" o:spid="_x0000_s1026" o:spt="100" style="position:absolute;left:0pt;margin-left:0pt;margin-top:0pt;height:842.05pt;width:595.25pt;mso-position-horizontal-relative:page;mso-position-vertical-relative:page;z-index:-251625472;mso-width-relative:page;mso-height-relative:page;" filled="f" stroked="f" coordsize="7559675,10694035" o:gfxdata="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31WdQAAAAHAQAADwAAAAAAAAAB&#10;ACAAAAAiAAAAZHJzL2Rvd25yZXYueG1sUEsBAhQAFAAAAAgAh07iQJl/WHSiAQAAGwMAAA4AAAAA&#10;AAAAAQAgAAAAIwEAAGRycy9lMm9Eb2MueG1sUEsFBgAAAAAGAAYAWQEAADcFAAAAAA==&#10;">
                <v:fill on="f" focussize="0,0"/>
                <v:stroke on="f"/>
                <v:imagedata o:title=""/>
                <o:lock v:ext="edit" aspectratio="f"/>
              </v:shape>
            </w:pict>
          </mc:Fallback>
        </mc:AlternateContent>
      </w:r>
      <w:r>
        <w:rPr>
          <w:rFonts w:hint="eastAsia" w:ascii="仿宋" w:hAnsi="仿宋" w:eastAsia="仿宋" w:cs="仿宋"/>
          <w:b/>
          <w:bCs/>
          <w:color w:val="auto"/>
          <w:sz w:val="28"/>
          <w:szCs w:val="28"/>
          <w:lang w:val="en-US" w:eastAsia="zh-CN"/>
        </w:rPr>
        <w:t>研究工作基础（300字）</w:t>
      </w:r>
    </w:p>
    <w:p>
      <w:pPr>
        <w:widowControl w:val="0"/>
        <w:numPr>
          <w:ilvl w:val="0"/>
          <w:numId w:val="0"/>
        </w:numPr>
        <w:spacing w:after="0" w:line="418" w:lineRule="exact"/>
        <w:jc w:val="both"/>
        <w:rPr>
          <w:rFonts w:hint="eastAsia" w:ascii="仿宋" w:hAnsi="仿宋" w:eastAsia="仿宋" w:cs="仿宋"/>
          <w:color w:val="auto"/>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Stylus BT">
    <w:panose1 w:val="020E0402020206020304"/>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长仿宋体">
    <w:panose1 w:val="02010600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STIXNonUnicode">
    <w:panose1 w:val="00000000000000000000"/>
    <w:charset w:val="00"/>
    <w:family w:val="auto"/>
    <w:pitch w:val="default"/>
    <w:sig w:usb0="00000003" w:usb1="10000000" w:usb2="00000000" w:usb3="00000000" w:csb0="80200001" w:csb1="00000000"/>
  </w:font>
  <w:font w:name="Yu Gothic">
    <w:panose1 w:val="020B04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AmdtSymbols">
    <w:panose1 w:val="02000500000000020004"/>
    <w:charset w:val="00"/>
    <w:family w:val="auto"/>
    <w:pitch w:val="default"/>
    <w:sig w:usb0="00000001"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Arial">
    <w:panose1 w:val="020B0604020202020204"/>
    <w:charset w:val="00"/>
    <w:family w:val="auto"/>
    <w:pitch w:val="default"/>
    <w:sig w:usb0="E0002EFF" w:usb1="C000785B" w:usb2="00000009" w:usb3="00000000" w:csb0="400001FF" w:csb1="FFFF0000"/>
  </w:font>
  <w:font w:name="Algerian">
    <w:panose1 w:val="04020705040A02060702"/>
    <w:charset w:val="00"/>
    <w:family w:val="auto"/>
    <w:pitch w:val="default"/>
    <w:sig w:usb0="00000003" w:usb1="00000000" w:usb2="00000000" w:usb3="00000000" w:csb0="20000001" w:csb1="00000000"/>
  </w:font>
  <w:font w:name="AIGDT">
    <w:panose1 w:val="00000400000000000000"/>
    <w:charset w:val="00"/>
    <w:family w:val="auto"/>
    <w:pitch w:val="default"/>
    <w:sig w:usb0="00000000" w:usb1="00000000" w:usb2="00000000" w:usb3="00000000" w:csb0="80000000" w:csb1="00000000"/>
  </w:font>
  <w:font w:name="Agency FB">
    <w:panose1 w:val="020B0503020202020204"/>
    <w:charset w:val="00"/>
    <w:family w:val="auto"/>
    <w:pitch w:val="default"/>
    <w:sig w:usb0="00000003" w:usb1="00000000" w:usb2="00000000" w:usb3="00000000" w:csb0="20000001" w:csb1="00000000"/>
  </w:font>
  <w:font w:name="Adobe Devanagari">
    <w:panose1 w:val="02040503050201020203"/>
    <w:charset w:val="00"/>
    <w:family w:val="auto"/>
    <w:pitch w:val="default"/>
    <w:sig w:usb0="00008003" w:usb1="00000000" w:usb2="00000000" w:usb3="00000000" w:csb0="20000001" w:csb1="00000000"/>
  </w:font>
  <w:font w:name="AcadEref">
    <w:panose1 w:val="02000500000000020003"/>
    <w:charset w:val="00"/>
    <w:family w:val="auto"/>
    <w:pitch w:val="default"/>
    <w:sig w:usb0="00000003" w:usb1="00000000" w:usb2="00000000" w:usb3="00000000" w:csb0="00000001" w:csb1="00000000"/>
  </w:font>
  <w:font w:name="MS Shell Dlg">
    <w:altName w:val="Calibri"/>
    <w:panose1 w:val="020B0604020202020204"/>
    <w:charset w:val="00"/>
    <w:family w:val="swiss"/>
    <w:pitch w:val="default"/>
    <w:sig w:usb0="00000000" w:usb1="00000000"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F5BBB"/>
    <w:multiLevelType w:val="singleLevel"/>
    <w:tmpl w:val="5B3F5BBB"/>
    <w:lvl w:ilvl="0" w:tentative="0">
      <w:start w:val="1"/>
      <w:numFmt w:val="decimal"/>
      <w:suff w:val="nothing"/>
      <w:lvlText w:val="（%1）"/>
      <w:lvlJc w:val="left"/>
    </w:lvl>
  </w:abstractNum>
  <w:abstractNum w:abstractNumId="1">
    <w:nsid w:val="5BC71E7E"/>
    <w:multiLevelType w:val="singleLevel"/>
    <w:tmpl w:val="5BC71E7E"/>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86360"/>
    <w:rsid w:val="06B31C18"/>
    <w:rsid w:val="13F5166C"/>
    <w:rsid w:val="1733403D"/>
    <w:rsid w:val="36E93D6D"/>
    <w:rsid w:val="36F238D4"/>
    <w:rsid w:val="5E88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2018-10-17T07:48:00Z</dcterms:created>
  <dc:creator>hp</dc:creator>
  <cp:lastModifiedBy>mroger</cp:lastModifiedBy>
  <dcterms:modified xsi:type="dcterms:W3CDTF">2018-10-17T12:33:26Z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