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85" w:rsidRPr="00C20685" w:rsidRDefault="00C20685" w:rsidP="00C20685">
      <w:pPr>
        <w:jc w:val="center"/>
        <w:rPr>
          <w:rFonts w:ascii="微软雅黑" w:eastAsia="微软雅黑" w:hAnsi="微软雅黑"/>
          <w:b/>
          <w:color w:val="000000"/>
          <w:szCs w:val="21"/>
        </w:rPr>
      </w:pPr>
      <w:r w:rsidRPr="00C20685">
        <w:rPr>
          <w:rFonts w:hint="eastAsia"/>
          <w:b/>
          <w:color w:val="000000"/>
          <w:sz w:val="28"/>
          <w:szCs w:val="23"/>
        </w:rPr>
        <w:t>以下信息是国家生态系统观测研究网络平台</w:t>
      </w:r>
      <w:r w:rsidRPr="00C20685">
        <w:rPr>
          <w:rFonts w:hint="eastAsia"/>
          <w:b/>
          <w:color w:val="000000"/>
          <w:sz w:val="28"/>
          <w:szCs w:val="23"/>
          <w:shd w:val="clear" w:color="auto" w:fill="FFFFFF"/>
        </w:rPr>
        <w:t>审核通过题目</w:t>
      </w:r>
    </w:p>
    <w:tbl>
      <w:tblPr>
        <w:tblW w:w="8296" w:type="dxa"/>
        <w:tblCellMar>
          <w:left w:w="0" w:type="dxa"/>
          <w:right w:w="0" w:type="dxa"/>
        </w:tblCellMar>
        <w:tblLook w:val="04A0" w:firstRow="1" w:lastRow="0" w:firstColumn="1" w:lastColumn="0" w:noHBand="0" w:noVBand="1"/>
      </w:tblPr>
      <w:tblGrid>
        <w:gridCol w:w="704"/>
        <w:gridCol w:w="4611"/>
        <w:gridCol w:w="1371"/>
        <w:gridCol w:w="1610"/>
      </w:tblGrid>
      <w:tr w:rsidR="00C20685" w:rsidRPr="00C20685" w:rsidTr="00C20685">
        <w:trPr>
          <w:trHeight w:val="480"/>
        </w:trPr>
        <w:tc>
          <w:tcPr>
            <w:tcW w:w="704" w:type="dxa"/>
            <w:tcBorders>
              <w:top w:val="single" w:sz="4" w:space="0" w:color="auto"/>
              <w:left w:val="single" w:sz="4" w:space="0" w:color="auto"/>
              <w:bottom w:val="single" w:sz="4" w:space="0" w:color="auto"/>
              <w:right w:val="single" w:sz="4" w:space="0" w:color="auto"/>
            </w:tcBorders>
            <w:vAlign w:val="center"/>
          </w:tcPr>
          <w:p w:rsidR="00C20685" w:rsidRPr="00C20685" w:rsidRDefault="00C20685" w:rsidP="00C20685">
            <w:pPr>
              <w:jc w:val="center"/>
              <w:rPr>
                <w:b/>
                <w:color w:val="000000"/>
                <w:sz w:val="22"/>
                <w:szCs w:val="22"/>
              </w:rPr>
            </w:pPr>
            <w:r w:rsidRPr="00C20685">
              <w:rPr>
                <w:rFonts w:hint="eastAsia"/>
                <w:b/>
                <w:color w:val="000000"/>
                <w:sz w:val="22"/>
                <w:szCs w:val="22"/>
              </w:rPr>
              <w:t>排序</w:t>
            </w:r>
          </w:p>
        </w:tc>
        <w:tc>
          <w:tcPr>
            <w:tcW w:w="46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20685" w:rsidRPr="00C20685" w:rsidRDefault="00C20685" w:rsidP="00C20685">
            <w:pPr>
              <w:jc w:val="center"/>
              <w:rPr>
                <w:b/>
                <w:color w:val="000000"/>
                <w:sz w:val="22"/>
                <w:szCs w:val="22"/>
              </w:rPr>
            </w:pPr>
            <w:r w:rsidRPr="00C20685">
              <w:rPr>
                <w:rFonts w:hint="eastAsia"/>
                <w:b/>
                <w:color w:val="000000"/>
                <w:sz w:val="22"/>
                <w:szCs w:val="22"/>
              </w:rPr>
              <w:t>题目名称</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20685" w:rsidRPr="00C20685" w:rsidRDefault="00C20685" w:rsidP="00C20685">
            <w:pPr>
              <w:jc w:val="center"/>
              <w:rPr>
                <w:b/>
                <w:color w:val="000000"/>
                <w:sz w:val="22"/>
                <w:szCs w:val="22"/>
              </w:rPr>
            </w:pPr>
            <w:r w:rsidRPr="00C20685">
              <w:rPr>
                <w:rFonts w:hint="eastAsia"/>
                <w:b/>
                <w:color w:val="000000"/>
                <w:sz w:val="22"/>
                <w:szCs w:val="22"/>
              </w:rPr>
              <w:t>类别</w:t>
            </w:r>
          </w:p>
        </w:tc>
        <w:tc>
          <w:tcPr>
            <w:tcW w:w="1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20685" w:rsidRPr="00C20685" w:rsidRDefault="00C20685" w:rsidP="00C20685">
            <w:pPr>
              <w:jc w:val="center"/>
              <w:rPr>
                <w:b/>
                <w:color w:val="000000"/>
                <w:sz w:val="22"/>
                <w:szCs w:val="22"/>
              </w:rPr>
            </w:pPr>
            <w:r w:rsidRPr="00C20685">
              <w:rPr>
                <w:rFonts w:hint="eastAsia"/>
                <w:b/>
                <w:color w:val="000000"/>
                <w:sz w:val="22"/>
                <w:szCs w:val="22"/>
              </w:rPr>
              <w:t>平台名称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哀牢山鸟类宣传片</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多媒体作品</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2</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哀牢山生态站20ha大样地乔木树种识别与提取工具</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软件类</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3</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半干旱区不同植物群落对降水的响应</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D84124">
        <w:trPr>
          <w:trHeight w:val="398"/>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4</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川中丘陵区典型小流域地表水水质分析</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5</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贡嘎山东坡降水稳定氢氧同位素影响因子分析</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6</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湖南会同杉木液流密度特征及其与环境因子的关系</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7</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荒漠绿洲过渡带斑块状植被区土壤剖面特征及其持水性能研究</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8</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几种降雨侵蚀力模型在南方红壤区的对比研究</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9</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秸秆还田对土壤有机质动态的影响及控制机制研究</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10</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近10年新疆策勒沙漠-绿洲过渡带气温和风沙天气变化特点</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11</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喀斯特地区植被恢复下土壤有机碳对环境因子的响应</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12</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落叶松直径生长空间变异与环境因子的敏感性</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13</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民勤荒漠绿洲过渡带生态演变趋势分析</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14</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坡面不同植被类型对泥沙颗粒中有机碳的迁移距离及空间分布特征的影响</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15</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秦岭山地不同土地利用类型土壤水文物理性质评价</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16</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区域地下水资源时空变异分析——以商丘地区为例</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D84124">
        <w:trPr>
          <w:trHeight w:val="454"/>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17</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塔里木河流域胡杨繁殖特性和适应策略</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18</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温带典型草原不同土层土壤含水量与降水的关系</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19</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淹水水稻土N2O消耗、转化能力的土层差异及微生物调控机理</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D84124">
        <w:trPr>
          <w:trHeight w:val="466"/>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20</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长白山气候特征及其与海拔的关系</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r w:rsidR="00C20685" w:rsidTr="00C2068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C20685" w:rsidRDefault="00C20685" w:rsidP="00C20685">
            <w:pPr>
              <w:jc w:val="center"/>
              <w:rPr>
                <w:color w:val="000000"/>
                <w:sz w:val="22"/>
                <w:szCs w:val="22"/>
              </w:rPr>
            </w:pPr>
            <w:r>
              <w:rPr>
                <w:rFonts w:hint="eastAsia"/>
                <w:color w:val="000000"/>
                <w:sz w:val="22"/>
                <w:szCs w:val="22"/>
              </w:rPr>
              <w:t>21</w:t>
            </w:r>
          </w:p>
        </w:tc>
        <w:tc>
          <w:tcPr>
            <w:tcW w:w="46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rPr>
                <w:color w:val="000000"/>
                <w:sz w:val="22"/>
                <w:szCs w:val="22"/>
              </w:rPr>
            </w:pPr>
            <w:r>
              <w:rPr>
                <w:rFonts w:hint="eastAsia"/>
                <w:color w:val="000000"/>
                <w:sz w:val="22"/>
                <w:szCs w:val="22"/>
              </w:rPr>
              <w:t>长期施用有机肥对提高红壤有机质及减缓酸性的影响</w:t>
            </w:r>
          </w:p>
        </w:tc>
        <w:tc>
          <w:tcPr>
            <w:tcW w:w="1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论文或报告</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0685" w:rsidRDefault="00C20685">
            <w:pPr>
              <w:jc w:val="center"/>
              <w:rPr>
                <w:color w:val="000000"/>
                <w:sz w:val="22"/>
                <w:szCs w:val="22"/>
              </w:rPr>
            </w:pPr>
            <w:r>
              <w:rPr>
                <w:rFonts w:hint="eastAsia"/>
                <w:color w:val="000000"/>
                <w:sz w:val="22"/>
                <w:szCs w:val="22"/>
              </w:rPr>
              <w:t>生态系统平台</w:t>
            </w:r>
          </w:p>
        </w:tc>
      </w:tr>
    </w:tbl>
    <w:p w:rsidR="00C20685" w:rsidRDefault="00C20685" w:rsidP="00D84124">
      <w:pPr>
        <w:rPr>
          <w:rFonts w:ascii="微软雅黑" w:eastAsia="微软雅黑" w:hAnsi="微软雅黑" w:hint="eastAsia"/>
          <w:color w:val="000000"/>
          <w:sz w:val="21"/>
          <w:szCs w:val="21"/>
        </w:rPr>
      </w:pPr>
      <w:bookmarkStart w:id="0" w:name="_GoBack"/>
      <w:bookmarkEnd w:id="0"/>
    </w:p>
    <w:sectPr w:rsidR="00C206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85"/>
    <w:rsid w:val="0032186B"/>
    <w:rsid w:val="00C20685"/>
    <w:rsid w:val="00D8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865D"/>
  <w15:chartTrackingRefBased/>
  <w15:docId w15:val="{80355FC1-585A-440A-91BF-E9EAC72E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68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0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62160">
      <w:bodyDiv w:val="1"/>
      <w:marLeft w:val="0"/>
      <w:marRight w:val="0"/>
      <w:marTop w:val="0"/>
      <w:marBottom w:val="0"/>
      <w:divBdr>
        <w:top w:val="none" w:sz="0" w:space="0" w:color="auto"/>
        <w:left w:val="none" w:sz="0" w:space="0" w:color="auto"/>
        <w:bottom w:val="none" w:sz="0" w:space="0" w:color="auto"/>
        <w:right w:val="none" w:sz="0" w:space="0" w:color="auto"/>
      </w:divBdr>
      <w:divsChild>
        <w:div w:id="62962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LiangB</dc:creator>
  <cp:keywords/>
  <dc:description/>
  <cp:lastModifiedBy>LiangB</cp:lastModifiedBy>
  <cp:revision>2</cp:revision>
  <dcterms:created xsi:type="dcterms:W3CDTF">2017-07-07T08:38:00Z</dcterms:created>
  <dcterms:modified xsi:type="dcterms:W3CDTF">2017-07-07T09:32:00Z</dcterms:modified>
</cp:coreProperties>
</file>